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806C3" w14:textId="40A5B5DC" w:rsidR="007F2260" w:rsidRPr="007F2260" w:rsidRDefault="007F2260" w:rsidP="007F2260">
      <w:pPr>
        <w:pStyle w:val="BodyText"/>
        <w:spacing w:before="93"/>
        <w:jc w:val="center"/>
        <w:rPr>
          <w:b/>
          <w:bCs/>
          <w:sz w:val="32"/>
          <w:szCs w:val="32"/>
          <w:u w:val="single"/>
        </w:rPr>
      </w:pPr>
      <w:r w:rsidRPr="007F2260">
        <w:rPr>
          <w:b/>
          <w:bCs/>
          <w:sz w:val="32"/>
          <w:szCs w:val="32"/>
          <w:u w:val="single"/>
        </w:rPr>
        <w:t>Spa Medical Centre Shared Care Policy</w:t>
      </w:r>
    </w:p>
    <w:p w14:paraId="100DC597" w14:textId="77777777" w:rsidR="007F2260" w:rsidRDefault="007F2260" w:rsidP="00750F53">
      <w:pPr>
        <w:pStyle w:val="BodyText"/>
        <w:spacing w:before="93"/>
        <w:rPr>
          <w:u w:val="single"/>
        </w:rPr>
      </w:pPr>
    </w:p>
    <w:p w14:paraId="48D522B1" w14:textId="517852D0" w:rsidR="00895985" w:rsidRDefault="007F2260" w:rsidP="00750F53">
      <w:pPr>
        <w:pStyle w:val="BodyText"/>
        <w:spacing w:before="93"/>
      </w:pPr>
      <w:r>
        <w:rPr>
          <w:u w:val="single"/>
        </w:rPr>
        <w:t>Purpose</w:t>
      </w:r>
      <w:r>
        <w:rPr>
          <w:spacing w:val="-2"/>
          <w:u w:val="single"/>
        </w:rPr>
        <w:t xml:space="preserve"> </w:t>
      </w:r>
      <w:r>
        <w:rPr>
          <w:u w:val="single"/>
        </w:rPr>
        <w:t>of</w:t>
      </w:r>
      <w:r>
        <w:rPr>
          <w:spacing w:val="-3"/>
          <w:u w:val="single"/>
        </w:rPr>
        <w:t xml:space="preserve"> </w:t>
      </w:r>
      <w:r>
        <w:rPr>
          <w:u w:val="single"/>
        </w:rPr>
        <w:t>the</w:t>
      </w:r>
      <w:r>
        <w:rPr>
          <w:spacing w:val="-1"/>
          <w:u w:val="single"/>
        </w:rPr>
        <w:t xml:space="preserve"> </w:t>
      </w:r>
      <w:r>
        <w:rPr>
          <w:spacing w:val="-2"/>
          <w:u w:val="single"/>
        </w:rPr>
        <w:t>policy</w:t>
      </w:r>
    </w:p>
    <w:p w14:paraId="33A0CCA6" w14:textId="77777777" w:rsidR="00895985" w:rsidRDefault="00895985">
      <w:pPr>
        <w:pStyle w:val="BodyText"/>
        <w:spacing w:before="11"/>
        <w:rPr>
          <w:sz w:val="15"/>
        </w:rPr>
      </w:pPr>
    </w:p>
    <w:p w14:paraId="3AD7C8CF" w14:textId="4DFBF29C" w:rsidR="00895985" w:rsidRDefault="007F2260" w:rsidP="00750F53">
      <w:pPr>
        <w:pStyle w:val="BodyText"/>
        <w:spacing w:before="92"/>
        <w:ind w:right="278"/>
      </w:pPr>
      <w:r>
        <w:t>Additional providers of healthcare are increasingly common. This policy intends to set</w:t>
      </w:r>
      <w:r>
        <w:rPr>
          <w:spacing w:val="-4"/>
        </w:rPr>
        <w:t xml:space="preserve"> </w:t>
      </w:r>
      <w:r>
        <w:t>out</w:t>
      </w:r>
      <w:r>
        <w:rPr>
          <w:spacing w:val="-4"/>
        </w:rPr>
        <w:t xml:space="preserve"> </w:t>
      </w:r>
      <w:r>
        <w:t>clearly</w:t>
      </w:r>
      <w:r>
        <w:rPr>
          <w:spacing w:val="-4"/>
        </w:rPr>
        <w:t xml:space="preserve"> </w:t>
      </w:r>
      <w:r>
        <w:t>for</w:t>
      </w:r>
      <w:r>
        <w:rPr>
          <w:spacing w:val="-4"/>
        </w:rPr>
        <w:t xml:space="preserve"> </w:t>
      </w:r>
      <w:r>
        <w:t>patients</w:t>
      </w:r>
      <w:r>
        <w:rPr>
          <w:spacing w:val="-4"/>
        </w:rPr>
        <w:t xml:space="preserve"> </w:t>
      </w:r>
      <w:r>
        <w:t>and</w:t>
      </w:r>
      <w:r>
        <w:rPr>
          <w:spacing w:val="-5"/>
        </w:rPr>
        <w:t xml:space="preserve"> </w:t>
      </w:r>
      <w:r>
        <w:t>providers,</w:t>
      </w:r>
      <w:r>
        <w:rPr>
          <w:spacing w:val="-4"/>
        </w:rPr>
        <w:t xml:space="preserve"> </w:t>
      </w:r>
      <w:r>
        <w:t>the</w:t>
      </w:r>
      <w:r>
        <w:rPr>
          <w:spacing w:val="-4"/>
        </w:rPr>
        <w:t xml:space="preserve"> </w:t>
      </w:r>
      <w:r>
        <w:t>responsibilities</w:t>
      </w:r>
      <w:r>
        <w:rPr>
          <w:spacing w:val="-4"/>
        </w:rPr>
        <w:t xml:space="preserve"> </w:t>
      </w:r>
      <w:r>
        <w:t>that S</w:t>
      </w:r>
      <w:r w:rsidR="006354A7">
        <w:t>pa</w:t>
      </w:r>
      <w:r>
        <w:rPr>
          <w:spacing w:val="-4"/>
        </w:rPr>
        <w:t xml:space="preserve"> </w:t>
      </w:r>
      <w:r>
        <w:t xml:space="preserve">Medical </w:t>
      </w:r>
      <w:r w:rsidR="006354A7">
        <w:t>Centre</w:t>
      </w:r>
      <w:r>
        <w:t xml:space="preserve"> expects of patients, providers and the GP </w:t>
      </w:r>
      <w:r w:rsidR="002655AC">
        <w:t>practice</w:t>
      </w:r>
    </w:p>
    <w:p w14:paraId="033F7223" w14:textId="77777777" w:rsidR="00895985" w:rsidRDefault="00895985">
      <w:pPr>
        <w:pStyle w:val="BodyText"/>
      </w:pPr>
    </w:p>
    <w:p w14:paraId="340A6063" w14:textId="530D46C6" w:rsidR="00895985" w:rsidRDefault="007F2260" w:rsidP="00750F53">
      <w:pPr>
        <w:pStyle w:val="BodyText"/>
        <w:ind w:right="278"/>
      </w:pPr>
      <w:r>
        <w:t>In</w:t>
      </w:r>
      <w:r>
        <w:rPr>
          <w:spacing w:val="-3"/>
        </w:rPr>
        <w:t xml:space="preserve"> </w:t>
      </w:r>
      <w:r>
        <w:t>addition,</w:t>
      </w:r>
      <w:r>
        <w:rPr>
          <w:spacing w:val="-4"/>
        </w:rPr>
        <w:t xml:space="preserve"> </w:t>
      </w:r>
      <w:r>
        <w:t>this</w:t>
      </w:r>
      <w:r>
        <w:rPr>
          <w:spacing w:val="-4"/>
        </w:rPr>
        <w:t xml:space="preserve"> </w:t>
      </w:r>
      <w:r>
        <w:t>policy</w:t>
      </w:r>
      <w:r>
        <w:rPr>
          <w:spacing w:val="-5"/>
        </w:rPr>
        <w:t xml:space="preserve"> </w:t>
      </w:r>
      <w:r>
        <w:t>will</w:t>
      </w:r>
      <w:r>
        <w:rPr>
          <w:spacing w:val="-4"/>
        </w:rPr>
        <w:t xml:space="preserve"> </w:t>
      </w:r>
      <w:r>
        <w:t>clearly</w:t>
      </w:r>
      <w:r>
        <w:rPr>
          <w:spacing w:val="-4"/>
        </w:rPr>
        <w:t xml:space="preserve"> </w:t>
      </w:r>
      <w:r>
        <w:t>highlight</w:t>
      </w:r>
      <w:r>
        <w:rPr>
          <w:spacing w:val="-4"/>
        </w:rPr>
        <w:t xml:space="preserve"> </w:t>
      </w:r>
      <w:r>
        <w:t>the</w:t>
      </w:r>
      <w:r>
        <w:rPr>
          <w:spacing w:val="-5"/>
        </w:rPr>
        <w:t xml:space="preserve"> </w:t>
      </w:r>
      <w:r>
        <w:t>requirements</w:t>
      </w:r>
      <w:r>
        <w:rPr>
          <w:spacing w:val="-4"/>
        </w:rPr>
        <w:t xml:space="preserve"> </w:t>
      </w:r>
      <w:r>
        <w:t>for</w:t>
      </w:r>
      <w:r>
        <w:rPr>
          <w:spacing w:val="-4"/>
        </w:rPr>
        <w:t xml:space="preserve"> </w:t>
      </w:r>
      <w:r>
        <w:t>‘Shared</w:t>
      </w:r>
      <w:r>
        <w:rPr>
          <w:spacing w:val="-4"/>
        </w:rPr>
        <w:t xml:space="preserve"> </w:t>
      </w:r>
      <w:r>
        <w:t xml:space="preserve">Care’ medications to be prescribed and when the </w:t>
      </w:r>
      <w:r w:rsidR="002655AC">
        <w:t>practice</w:t>
      </w:r>
      <w:r>
        <w:t xml:space="preserve"> </w:t>
      </w:r>
      <w:r w:rsidR="002655AC">
        <w:t>is</w:t>
      </w:r>
      <w:r>
        <w:t xml:space="preserve"> able to enter such </w:t>
      </w:r>
      <w:r>
        <w:rPr>
          <w:spacing w:val="-2"/>
        </w:rPr>
        <w:t>agreements.</w:t>
      </w:r>
    </w:p>
    <w:p w14:paraId="0D208E3C" w14:textId="77777777" w:rsidR="00895985" w:rsidRDefault="00895985">
      <w:pPr>
        <w:pStyle w:val="BodyText"/>
      </w:pPr>
    </w:p>
    <w:p w14:paraId="34FD5D3A" w14:textId="77777777" w:rsidR="00895985" w:rsidRDefault="007F2260" w:rsidP="00750F53">
      <w:pPr>
        <w:pStyle w:val="BodyText"/>
      </w:pPr>
      <w:r>
        <w:rPr>
          <w:u w:val="single"/>
        </w:rPr>
        <w:t>Shared</w:t>
      </w:r>
      <w:r>
        <w:rPr>
          <w:spacing w:val="-4"/>
          <w:u w:val="single"/>
        </w:rPr>
        <w:t xml:space="preserve"> </w:t>
      </w:r>
      <w:r>
        <w:rPr>
          <w:u w:val="single"/>
        </w:rPr>
        <w:t>Care</w:t>
      </w:r>
      <w:r>
        <w:rPr>
          <w:spacing w:val="-3"/>
          <w:u w:val="single"/>
        </w:rPr>
        <w:t xml:space="preserve"> </w:t>
      </w:r>
      <w:r>
        <w:rPr>
          <w:u w:val="single"/>
        </w:rPr>
        <w:t>Medications</w:t>
      </w:r>
      <w:r>
        <w:rPr>
          <w:spacing w:val="-3"/>
          <w:u w:val="single"/>
        </w:rPr>
        <w:t xml:space="preserve"> </w:t>
      </w:r>
      <w:r>
        <w:rPr>
          <w:u w:val="single"/>
        </w:rPr>
        <w:t>/</w:t>
      </w:r>
      <w:r>
        <w:rPr>
          <w:spacing w:val="-16"/>
          <w:u w:val="single"/>
        </w:rPr>
        <w:t xml:space="preserve"> </w:t>
      </w:r>
      <w:r>
        <w:rPr>
          <w:spacing w:val="-2"/>
          <w:u w:val="single"/>
        </w:rPr>
        <w:t>Arrangements</w:t>
      </w:r>
    </w:p>
    <w:p w14:paraId="76EE5435" w14:textId="77777777" w:rsidR="00895985" w:rsidRDefault="00895985">
      <w:pPr>
        <w:pStyle w:val="BodyText"/>
        <w:spacing w:before="1"/>
        <w:rPr>
          <w:sz w:val="16"/>
        </w:rPr>
      </w:pPr>
    </w:p>
    <w:p w14:paraId="302162CD" w14:textId="77777777" w:rsidR="00895985" w:rsidRDefault="007F2260" w:rsidP="00750F53">
      <w:pPr>
        <w:pStyle w:val="Heading1"/>
        <w:spacing w:before="92"/>
        <w:ind w:left="0"/>
      </w:pPr>
      <w:r>
        <w:t>What</w:t>
      </w:r>
      <w:r>
        <w:rPr>
          <w:spacing w:val="-3"/>
        </w:rPr>
        <w:t xml:space="preserve"> </w:t>
      </w:r>
      <w:r>
        <w:t>is shared</w:t>
      </w:r>
      <w:r>
        <w:rPr>
          <w:spacing w:val="-1"/>
        </w:rPr>
        <w:t xml:space="preserve"> </w:t>
      </w:r>
      <w:r>
        <w:rPr>
          <w:spacing w:val="-4"/>
        </w:rPr>
        <w:t>care?</w:t>
      </w:r>
    </w:p>
    <w:p w14:paraId="0BD81B88" w14:textId="4A4B0011" w:rsidR="00895985" w:rsidRPr="00750F53" w:rsidRDefault="007F2260" w:rsidP="00750F53">
      <w:pPr>
        <w:tabs>
          <w:tab w:val="left" w:pos="460"/>
          <w:tab w:val="left" w:pos="461"/>
        </w:tabs>
        <w:ind w:right="348"/>
        <w:rPr>
          <w:sz w:val="24"/>
        </w:rPr>
      </w:pPr>
      <w:r w:rsidRPr="00750F53">
        <w:rPr>
          <w:sz w:val="24"/>
        </w:rPr>
        <w:t xml:space="preserve">Shared care is a term used to describe the situation where a specialist doctor wishes to pass some of the patient’s care, such as prescription of medication, over to their </w:t>
      </w:r>
      <w:r w:rsidR="002655AC" w:rsidRPr="00750F53">
        <w:rPr>
          <w:sz w:val="24"/>
        </w:rPr>
        <w:t>G</w:t>
      </w:r>
      <w:r w:rsidRPr="00750F53">
        <w:rPr>
          <w:sz w:val="24"/>
        </w:rPr>
        <w:t xml:space="preserve">eneral </w:t>
      </w:r>
      <w:r w:rsidR="002655AC" w:rsidRPr="00750F53">
        <w:rPr>
          <w:sz w:val="24"/>
        </w:rPr>
        <w:t>P</w:t>
      </w:r>
      <w:r w:rsidRPr="00750F53">
        <w:rPr>
          <w:sz w:val="24"/>
        </w:rPr>
        <w:t>ractitioner (GP). This is something that can be</w:t>
      </w:r>
      <w:r w:rsidRPr="00750F53">
        <w:rPr>
          <w:spacing w:val="-2"/>
          <w:sz w:val="24"/>
        </w:rPr>
        <w:t xml:space="preserve"> </w:t>
      </w:r>
      <w:r w:rsidRPr="00750F53">
        <w:rPr>
          <w:sz w:val="24"/>
        </w:rPr>
        <w:t>requested</w:t>
      </w:r>
      <w:r w:rsidRPr="00750F53">
        <w:rPr>
          <w:spacing w:val="-4"/>
          <w:sz w:val="24"/>
        </w:rPr>
        <w:t xml:space="preserve"> </w:t>
      </w:r>
      <w:r w:rsidRPr="00750F53">
        <w:rPr>
          <w:sz w:val="24"/>
        </w:rPr>
        <w:t>but</w:t>
      </w:r>
      <w:r w:rsidRPr="00750F53">
        <w:rPr>
          <w:spacing w:val="-4"/>
          <w:sz w:val="24"/>
        </w:rPr>
        <w:t xml:space="preserve"> </w:t>
      </w:r>
      <w:r w:rsidRPr="00750F53">
        <w:rPr>
          <w:sz w:val="24"/>
        </w:rPr>
        <w:t>the</w:t>
      </w:r>
      <w:r w:rsidRPr="00750F53">
        <w:rPr>
          <w:spacing w:val="-2"/>
          <w:sz w:val="24"/>
        </w:rPr>
        <w:t xml:space="preserve"> </w:t>
      </w:r>
      <w:r w:rsidRPr="00750F53">
        <w:rPr>
          <w:sz w:val="24"/>
        </w:rPr>
        <w:t>guidance</w:t>
      </w:r>
      <w:r w:rsidRPr="00750F53">
        <w:rPr>
          <w:spacing w:val="-2"/>
          <w:sz w:val="24"/>
        </w:rPr>
        <w:t xml:space="preserve"> </w:t>
      </w:r>
      <w:r w:rsidRPr="00750F53">
        <w:rPr>
          <w:sz w:val="24"/>
        </w:rPr>
        <w:t>for</w:t>
      </w:r>
      <w:r w:rsidRPr="00750F53">
        <w:rPr>
          <w:spacing w:val="-5"/>
          <w:sz w:val="24"/>
        </w:rPr>
        <w:t xml:space="preserve"> </w:t>
      </w:r>
      <w:r w:rsidRPr="00750F53">
        <w:rPr>
          <w:sz w:val="24"/>
        </w:rPr>
        <w:t>all</w:t>
      </w:r>
      <w:r w:rsidRPr="00750F53">
        <w:rPr>
          <w:spacing w:val="-3"/>
          <w:sz w:val="24"/>
        </w:rPr>
        <w:t xml:space="preserve"> </w:t>
      </w:r>
      <w:r w:rsidRPr="00750F53">
        <w:rPr>
          <w:sz w:val="24"/>
        </w:rPr>
        <w:t>medications</w:t>
      </w:r>
      <w:r w:rsidRPr="00750F53">
        <w:rPr>
          <w:spacing w:val="-2"/>
          <w:sz w:val="24"/>
        </w:rPr>
        <w:t xml:space="preserve"> </w:t>
      </w:r>
      <w:r w:rsidRPr="00750F53">
        <w:rPr>
          <w:sz w:val="24"/>
        </w:rPr>
        <w:t>is</w:t>
      </w:r>
      <w:r w:rsidRPr="00750F53">
        <w:rPr>
          <w:spacing w:val="-3"/>
          <w:sz w:val="24"/>
        </w:rPr>
        <w:t xml:space="preserve"> </w:t>
      </w:r>
      <w:r w:rsidRPr="00750F53">
        <w:rPr>
          <w:sz w:val="24"/>
        </w:rPr>
        <w:t>that</w:t>
      </w:r>
      <w:r w:rsidRPr="00750F53">
        <w:rPr>
          <w:spacing w:val="-4"/>
          <w:sz w:val="24"/>
        </w:rPr>
        <w:t xml:space="preserve"> </w:t>
      </w:r>
      <w:r w:rsidRPr="00750F53">
        <w:rPr>
          <w:sz w:val="24"/>
        </w:rPr>
        <w:t>this</w:t>
      </w:r>
      <w:r w:rsidRPr="00750F53">
        <w:rPr>
          <w:spacing w:val="-3"/>
          <w:sz w:val="24"/>
        </w:rPr>
        <w:t xml:space="preserve"> </w:t>
      </w:r>
      <w:r w:rsidRPr="00750F53">
        <w:rPr>
          <w:sz w:val="24"/>
        </w:rPr>
        <w:t>may</w:t>
      </w:r>
      <w:r w:rsidRPr="00750F53">
        <w:rPr>
          <w:spacing w:val="-4"/>
          <w:sz w:val="24"/>
        </w:rPr>
        <w:t xml:space="preserve"> </w:t>
      </w:r>
      <w:r w:rsidRPr="00750F53">
        <w:rPr>
          <w:sz w:val="24"/>
        </w:rPr>
        <w:t>only</w:t>
      </w:r>
      <w:r w:rsidRPr="00750F53">
        <w:rPr>
          <w:spacing w:val="-2"/>
          <w:sz w:val="24"/>
        </w:rPr>
        <w:t xml:space="preserve"> </w:t>
      </w:r>
      <w:r w:rsidRPr="00750F53">
        <w:rPr>
          <w:sz w:val="24"/>
        </w:rPr>
        <w:t>be</w:t>
      </w:r>
      <w:r w:rsidRPr="00750F53">
        <w:rPr>
          <w:spacing w:val="-4"/>
          <w:sz w:val="24"/>
        </w:rPr>
        <w:t xml:space="preserve"> </w:t>
      </w:r>
      <w:r w:rsidRPr="00750F53">
        <w:rPr>
          <w:sz w:val="24"/>
        </w:rPr>
        <w:t>done</w:t>
      </w:r>
      <w:r w:rsidRPr="00750F53">
        <w:rPr>
          <w:spacing w:val="-2"/>
          <w:sz w:val="24"/>
        </w:rPr>
        <w:t xml:space="preserve"> </w:t>
      </w:r>
      <w:r w:rsidRPr="00750F53">
        <w:rPr>
          <w:sz w:val="24"/>
        </w:rPr>
        <w:t>if the</w:t>
      </w:r>
      <w:r w:rsidRPr="00750F53">
        <w:rPr>
          <w:spacing w:val="-2"/>
          <w:sz w:val="24"/>
        </w:rPr>
        <w:t xml:space="preserve"> </w:t>
      </w:r>
      <w:r w:rsidRPr="00750F53">
        <w:rPr>
          <w:sz w:val="24"/>
        </w:rPr>
        <w:t>GP</w:t>
      </w:r>
      <w:r w:rsidRPr="00750F53">
        <w:rPr>
          <w:spacing w:val="-7"/>
          <w:sz w:val="24"/>
        </w:rPr>
        <w:t xml:space="preserve"> </w:t>
      </w:r>
      <w:r w:rsidRPr="00750F53">
        <w:rPr>
          <w:sz w:val="24"/>
        </w:rPr>
        <w:t>agrees.</w:t>
      </w:r>
      <w:r w:rsidRPr="00750F53">
        <w:rPr>
          <w:spacing w:val="-6"/>
          <w:sz w:val="24"/>
        </w:rPr>
        <w:t xml:space="preserve"> </w:t>
      </w:r>
      <w:r w:rsidRPr="00750F53">
        <w:rPr>
          <w:sz w:val="24"/>
        </w:rPr>
        <w:t>The</w:t>
      </w:r>
      <w:r w:rsidRPr="00750F53">
        <w:rPr>
          <w:spacing w:val="-2"/>
          <w:sz w:val="24"/>
        </w:rPr>
        <w:t xml:space="preserve"> </w:t>
      </w:r>
      <w:r w:rsidRPr="00750F53">
        <w:rPr>
          <w:sz w:val="24"/>
        </w:rPr>
        <w:t>GP</w:t>
      </w:r>
      <w:r w:rsidRPr="00750F53">
        <w:rPr>
          <w:spacing w:val="-7"/>
          <w:sz w:val="24"/>
        </w:rPr>
        <w:t xml:space="preserve"> </w:t>
      </w:r>
      <w:r w:rsidRPr="00750F53">
        <w:rPr>
          <w:sz w:val="24"/>
        </w:rPr>
        <w:t>will</w:t>
      </w:r>
      <w:r w:rsidRPr="00750F53">
        <w:rPr>
          <w:spacing w:val="-3"/>
          <w:sz w:val="24"/>
        </w:rPr>
        <w:t xml:space="preserve"> </w:t>
      </w:r>
      <w:r w:rsidRPr="00750F53">
        <w:rPr>
          <w:sz w:val="24"/>
        </w:rPr>
        <w:t>need</w:t>
      </w:r>
      <w:r w:rsidRPr="00750F53">
        <w:rPr>
          <w:spacing w:val="-4"/>
          <w:sz w:val="24"/>
        </w:rPr>
        <w:t xml:space="preserve"> </w:t>
      </w:r>
      <w:r w:rsidRPr="00750F53">
        <w:rPr>
          <w:sz w:val="24"/>
        </w:rPr>
        <w:t>to</w:t>
      </w:r>
      <w:r w:rsidRPr="00750F53">
        <w:rPr>
          <w:spacing w:val="-1"/>
          <w:sz w:val="24"/>
        </w:rPr>
        <w:t xml:space="preserve"> </w:t>
      </w:r>
      <w:r w:rsidRPr="00750F53">
        <w:rPr>
          <w:sz w:val="24"/>
        </w:rPr>
        <w:t>consider</w:t>
      </w:r>
      <w:r w:rsidRPr="00750F53">
        <w:rPr>
          <w:spacing w:val="-6"/>
          <w:sz w:val="24"/>
        </w:rPr>
        <w:t xml:space="preserve"> </w:t>
      </w:r>
      <w:r w:rsidRPr="00750F53">
        <w:rPr>
          <w:sz w:val="24"/>
        </w:rPr>
        <w:t>a</w:t>
      </w:r>
      <w:r w:rsidRPr="00750F53">
        <w:rPr>
          <w:spacing w:val="-1"/>
          <w:sz w:val="24"/>
        </w:rPr>
        <w:t xml:space="preserve"> </w:t>
      </w:r>
      <w:r w:rsidRPr="00750F53">
        <w:rPr>
          <w:sz w:val="24"/>
        </w:rPr>
        <w:t>number</w:t>
      </w:r>
      <w:r w:rsidRPr="00750F53">
        <w:rPr>
          <w:spacing w:val="-2"/>
          <w:sz w:val="24"/>
        </w:rPr>
        <w:t xml:space="preserve"> </w:t>
      </w:r>
      <w:r w:rsidRPr="00750F53">
        <w:rPr>
          <w:sz w:val="24"/>
        </w:rPr>
        <w:t>of</w:t>
      </w:r>
      <w:r w:rsidRPr="00750F53">
        <w:rPr>
          <w:spacing w:val="-2"/>
          <w:sz w:val="24"/>
        </w:rPr>
        <w:t xml:space="preserve"> </w:t>
      </w:r>
      <w:r w:rsidRPr="00750F53">
        <w:rPr>
          <w:sz w:val="24"/>
        </w:rPr>
        <w:t>factors</w:t>
      </w:r>
      <w:r w:rsidRPr="00750F53">
        <w:rPr>
          <w:spacing w:val="-2"/>
          <w:sz w:val="24"/>
        </w:rPr>
        <w:t xml:space="preserve"> </w:t>
      </w:r>
      <w:r w:rsidRPr="00750F53">
        <w:rPr>
          <w:sz w:val="24"/>
        </w:rPr>
        <w:t>to</w:t>
      </w:r>
      <w:r w:rsidRPr="00750F53">
        <w:rPr>
          <w:spacing w:val="-4"/>
          <w:sz w:val="24"/>
        </w:rPr>
        <w:t xml:space="preserve"> </w:t>
      </w:r>
      <w:r w:rsidRPr="00750F53">
        <w:rPr>
          <w:sz w:val="24"/>
        </w:rPr>
        <w:t>decide</w:t>
      </w:r>
      <w:r w:rsidRPr="00750F53">
        <w:rPr>
          <w:spacing w:val="-2"/>
          <w:sz w:val="24"/>
        </w:rPr>
        <w:t xml:space="preserve"> </w:t>
      </w:r>
      <w:r w:rsidRPr="00750F53">
        <w:rPr>
          <w:sz w:val="24"/>
        </w:rPr>
        <w:t>if</w:t>
      </w:r>
      <w:r w:rsidRPr="00750F53">
        <w:rPr>
          <w:spacing w:val="-2"/>
          <w:sz w:val="24"/>
        </w:rPr>
        <w:t xml:space="preserve"> </w:t>
      </w:r>
      <w:r w:rsidRPr="00750F53">
        <w:rPr>
          <w:sz w:val="24"/>
        </w:rPr>
        <w:t>this is safe.</w:t>
      </w:r>
    </w:p>
    <w:p w14:paraId="0856F112" w14:textId="77777777" w:rsidR="00750F53" w:rsidRDefault="00750F53" w:rsidP="00750F53">
      <w:pPr>
        <w:tabs>
          <w:tab w:val="left" w:pos="460"/>
          <w:tab w:val="left" w:pos="461"/>
        </w:tabs>
        <w:ind w:right="771"/>
        <w:rPr>
          <w:sz w:val="24"/>
        </w:rPr>
      </w:pPr>
    </w:p>
    <w:p w14:paraId="5D59C02D" w14:textId="0B57CB05" w:rsidR="00895985" w:rsidRDefault="007F2260" w:rsidP="00750F53">
      <w:pPr>
        <w:tabs>
          <w:tab w:val="left" w:pos="460"/>
          <w:tab w:val="left" w:pos="461"/>
        </w:tabs>
        <w:ind w:right="771"/>
      </w:pPr>
      <w:r w:rsidRPr="00750F53">
        <w:rPr>
          <w:sz w:val="24"/>
        </w:rPr>
        <w:t>In</w:t>
      </w:r>
      <w:r w:rsidRPr="00750F53">
        <w:rPr>
          <w:spacing w:val="-3"/>
          <w:sz w:val="24"/>
        </w:rPr>
        <w:t xml:space="preserve"> </w:t>
      </w:r>
      <w:r w:rsidRPr="00750F53">
        <w:rPr>
          <w:sz w:val="24"/>
        </w:rPr>
        <w:t>shared</w:t>
      </w:r>
      <w:r w:rsidRPr="00750F53">
        <w:rPr>
          <w:spacing w:val="-3"/>
          <w:sz w:val="24"/>
        </w:rPr>
        <w:t xml:space="preserve"> </w:t>
      </w:r>
      <w:r w:rsidRPr="00750F53">
        <w:rPr>
          <w:sz w:val="24"/>
        </w:rPr>
        <w:t>care</w:t>
      </w:r>
      <w:r w:rsidRPr="00750F53">
        <w:rPr>
          <w:spacing w:val="-4"/>
          <w:sz w:val="24"/>
        </w:rPr>
        <w:t xml:space="preserve"> </w:t>
      </w:r>
      <w:r w:rsidRPr="00750F53">
        <w:rPr>
          <w:sz w:val="24"/>
        </w:rPr>
        <w:t>arrangements</w:t>
      </w:r>
      <w:r w:rsidRPr="00750F53">
        <w:rPr>
          <w:spacing w:val="-2"/>
          <w:sz w:val="24"/>
        </w:rPr>
        <w:t xml:space="preserve"> </w:t>
      </w:r>
      <w:r w:rsidRPr="00750F53">
        <w:rPr>
          <w:sz w:val="24"/>
        </w:rPr>
        <w:t>(SCA)</w:t>
      </w:r>
      <w:r w:rsidRPr="00750F53">
        <w:rPr>
          <w:spacing w:val="-4"/>
          <w:sz w:val="24"/>
        </w:rPr>
        <w:t xml:space="preserve"> </w:t>
      </w:r>
      <w:r w:rsidRPr="00750F53">
        <w:rPr>
          <w:sz w:val="24"/>
        </w:rPr>
        <w:t>the</w:t>
      </w:r>
      <w:r w:rsidRPr="00750F53">
        <w:rPr>
          <w:spacing w:val="-4"/>
          <w:sz w:val="24"/>
        </w:rPr>
        <w:t xml:space="preserve"> </w:t>
      </w:r>
      <w:r w:rsidRPr="00750F53">
        <w:rPr>
          <w:sz w:val="24"/>
        </w:rPr>
        <w:t>prescribing</w:t>
      </w:r>
      <w:r w:rsidRPr="00750F53">
        <w:rPr>
          <w:spacing w:val="-3"/>
          <w:sz w:val="24"/>
        </w:rPr>
        <w:t xml:space="preserve"> </w:t>
      </w:r>
      <w:r w:rsidR="002655AC" w:rsidRPr="00750F53">
        <w:rPr>
          <w:sz w:val="24"/>
        </w:rPr>
        <w:t>c</w:t>
      </w:r>
      <w:r w:rsidRPr="00750F53">
        <w:rPr>
          <w:sz w:val="24"/>
        </w:rPr>
        <w:t>onsultant</w:t>
      </w:r>
      <w:r w:rsidRPr="00750F53">
        <w:rPr>
          <w:spacing w:val="-6"/>
          <w:sz w:val="24"/>
        </w:rPr>
        <w:t xml:space="preserve"> </w:t>
      </w:r>
      <w:r w:rsidRPr="00750F53">
        <w:rPr>
          <w:sz w:val="24"/>
        </w:rPr>
        <w:t>or</w:t>
      </w:r>
      <w:r w:rsidRPr="00750F53">
        <w:rPr>
          <w:spacing w:val="-4"/>
          <w:sz w:val="24"/>
        </w:rPr>
        <w:t xml:space="preserve"> </w:t>
      </w:r>
      <w:r w:rsidRPr="00750F53">
        <w:rPr>
          <w:sz w:val="24"/>
        </w:rPr>
        <w:t xml:space="preserve">specialist team still </w:t>
      </w:r>
      <w:r w:rsidRPr="007F2260">
        <w:rPr>
          <w:sz w:val="24"/>
          <w:szCs w:val="24"/>
        </w:rPr>
        <w:t>remain</w:t>
      </w:r>
      <w:r w:rsidRPr="007F2260">
        <w:rPr>
          <w:sz w:val="24"/>
          <w:szCs w:val="24"/>
        </w:rPr>
        <w:t xml:space="preserve"> responsible for parts</w:t>
      </w:r>
      <w:r w:rsidRPr="007F2260">
        <w:rPr>
          <w:spacing w:val="-1"/>
          <w:sz w:val="24"/>
          <w:szCs w:val="24"/>
        </w:rPr>
        <w:t xml:space="preserve"> </w:t>
      </w:r>
      <w:r w:rsidRPr="007F2260">
        <w:rPr>
          <w:sz w:val="24"/>
          <w:szCs w:val="24"/>
        </w:rPr>
        <w:t>of the patient’s care.</w:t>
      </w:r>
      <w:r w:rsidRPr="007F2260">
        <w:rPr>
          <w:spacing w:val="-2"/>
          <w:sz w:val="24"/>
          <w:szCs w:val="24"/>
        </w:rPr>
        <w:t xml:space="preserve"> </w:t>
      </w:r>
      <w:r w:rsidRPr="007F2260">
        <w:rPr>
          <w:sz w:val="24"/>
          <w:szCs w:val="24"/>
        </w:rPr>
        <w:t>These should be</w:t>
      </w:r>
      <w:r w:rsidR="00750F53" w:rsidRPr="007F2260">
        <w:rPr>
          <w:sz w:val="24"/>
          <w:szCs w:val="24"/>
        </w:rPr>
        <w:t xml:space="preserve"> </w:t>
      </w:r>
      <w:r w:rsidRPr="007F2260">
        <w:rPr>
          <w:sz w:val="24"/>
          <w:szCs w:val="24"/>
        </w:rPr>
        <w:t>defined in the SCA</w:t>
      </w:r>
      <w:r w:rsidRPr="007F2260">
        <w:rPr>
          <w:spacing w:val="-12"/>
          <w:sz w:val="24"/>
          <w:szCs w:val="24"/>
        </w:rPr>
        <w:t xml:space="preserve"> </w:t>
      </w:r>
      <w:r w:rsidRPr="007F2260">
        <w:rPr>
          <w:sz w:val="24"/>
          <w:szCs w:val="24"/>
        </w:rPr>
        <w:t xml:space="preserve">and usually include any changes to the medication regime or any </w:t>
      </w:r>
      <w:r w:rsidR="00750F53" w:rsidRPr="007F2260">
        <w:rPr>
          <w:sz w:val="24"/>
          <w:szCs w:val="24"/>
        </w:rPr>
        <w:t>complications</w:t>
      </w:r>
      <w:r w:rsidRPr="007F2260">
        <w:rPr>
          <w:sz w:val="24"/>
          <w:szCs w:val="24"/>
        </w:rPr>
        <w:t xml:space="preserve"> related to the medication. The presence of a specialist is also essential for the GP to be deemed to be operating under ‘shared care’. Shared care</w:t>
      </w:r>
      <w:r w:rsidRPr="007F2260">
        <w:rPr>
          <w:spacing w:val="-2"/>
          <w:sz w:val="24"/>
          <w:szCs w:val="24"/>
        </w:rPr>
        <w:t xml:space="preserve"> </w:t>
      </w:r>
      <w:r w:rsidRPr="007F2260">
        <w:rPr>
          <w:sz w:val="24"/>
          <w:szCs w:val="24"/>
        </w:rPr>
        <w:t>is</w:t>
      </w:r>
      <w:r w:rsidRPr="007F2260">
        <w:rPr>
          <w:spacing w:val="-2"/>
          <w:sz w:val="24"/>
          <w:szCs w:val="24"/>
        </w:rPr>
        <w:t xml:space="preserve"> </w:t>
      </w:r>
      <w:r w:rsidRPr="007F2260">
        <w:rPr>
          <w:sz w:val="24"/>
          <w:szCs w:val="24"/>
        </w:rPr>
        <w:t>not</w:t>
      </w:r>
      <w:r w:rsidRPr="007F2260">
        <w:rPr>
          <w:spacing w:val="-2"/>
          <w:sz w:val="24"/>
          <w:szCs w:val="24"/>
        </w:rPr>
        <w:t xml:space="preserve"> </w:t>
      </w:r>
      <w:r w:rsidRPr="007F2260">
        <w:rPr>
          <w:sz w:val="24"/>
          <w:szCs w:val="24"/>
        </w:rPr>
        <w:t>‘shared’</w:t>
      </w:r>
      <w:r w:rsidRPr="007F2260">
        <w:rPr>
          <w:spacing w:val="-13"/>
          <w:sz w:val="24"/>
          <w:szCs w:val="24"/>
        </w:rPr>
        <w:t xml:space="preserve"> </w:t>
      </w:r>
      <w:r w:rsidRPr="007F2260">
        <w:rPr>
          <w:sz w:val="24"/>
          <w:szCs w:val="24"/>
        </w:rPr>
        <w:t>unless</w:t>
      </w:r>
      <w:r w:rsidRPr="007F2260">
        <w:rPr>
          <w:spacing w:val="-2"/>
          <w:sz w:val="24"/>
          <w:szCs w:val="24"/>
        </w:rPr>
        <w:t xml:space="preserve"> </w:t>
      </w:r>
      <w:r w:rsidRPr="007F2260">
        <w:rPr>
          <w:sz w:val="24"/>
          <w:szCs w:val="24"/>
        </w:rPr>
        <w:t>it</w:t>
      </w:r>
      <w:r w:rsidRPr="007F2260">
        <w:rPr>
          <w:spacing w:val="-2"/>
          <w:sz w:val="24"/>
          <w:szCs w:val="24"/>
        </w:rPr>
        <w:t xml:space="preserve"> </w:t>
      </w:r>
      <w:r w:rsidRPr="007F2260">
        <w:rPr>
          <w:sz w:val="24"/>
          <w:szCs w:val="24"/>
        </w:rPr>
        <w:t>is</w:t>
      </w:r>
      <w:r w:rsidRPr="007F2260">
        <w:rPr>
          <w:spacing w:val="-3"/>
          <w:sz w:val="24"/>
          <w:szCs w:val="24"/>
        </w:rPr>
        <w:t xml:space="preserve"> </w:t>
      </w:r>
      <w:r w:rsidRPr="007F2260">
        <w:rPr>
          <w:sz w:val="24"/>
          <w:szCs w:val="24"/>
        </w:rPr>
        <w:t>shared</w:t>
      </w:r>
      <w:r w:rsidRPr="007F2260">
        <w:rPr>
          <w:spacing w:val="-3"/>
          <w:sz w:val="24"/>
          <w:szCs w:val="24"/>
        </w:rPr>
        <w:t xml:space="preserve"> </w:t>
      </w:r>
      <w:r w:rsidRPr="007F2260">
        <w:rPr>
          <w:sz w:val="24"/>
          <w:szCs w:val="24"/>
        </w:rPr>
        <w:t>by</w:t>
      </w:r>
      <w:r w:rsidRPr="007F2260">
        <w:rPr>
          <w:spacing w:val="-2"/>
          <w:sz w:val="24"/>
          <w:szCs w:val="24"/>
        </w:rPr>
        <w:t xml:space="preserve"> </w:t>
      </w:r>
      <w:r w:rsidRPr="007F2260">
        <w:rPr>
          <w:sz w:val="24"/>
          <w:szCs w:val="24"/>
        </w:rPr>
        <w:t>the</w:t>
      </w:r>
      <w:r w:rsidRPr="007F2260">
        <w:rPr>
          <w:spacing w:val="-4"/>
          <w:sz w:val="24"/>
          <w:szCs w:val="24"/>
        </w:rPr>
        <w:t xml:space="preserve"> </w:t>
      </w:r>
      <w:r w:rsidRPr="007F2260">
        <w:rPr>
          <w:sz w:val="24"/>
          <w:szCs w:val="24"/>
        </w:rPr>
        <w:t>GP</w:t>
      </w:r>
      <w:r w:rsidRPr="007F2260">
        <w:rPr>
          <w:spacing w:val="-6"/>
          <w:sz w:val="24"/>
          <w:szCs w:val="24"/>
        </w:rPr>
        <w:t xml:space="preserve"> </w:t>
      </w:r>
      <w:r w:rsidRPr="007F2260">
        <w:rPr>
          <w:sz w:val="24"/>
          <w:szCs w:val="24"/>
        </w:rPr>
        <w:t>with</w:t>
      </w:r>
      <w:r w:rsidRPr="007F2260">
        <w:rPr>
          <w:spacing w:val="-2"/>
          <w:sz w:val="24"/>
          <w:szCs w:val="24"/>
        </w:rPr>
        <w:t xml:space="preserve"> </w:t>
      </w:r>
      <w:r w:rsidRPr="007F2260">
        <w:rPr>
          <w:sz w:val="24"/>
          <w:szCs w:val="24"/>
        </w:rPr>
        <w:t>someone</w:t>
      </w:r>
      <w:r w:rsidRPr="007F2260">
        <w:rPr>
          <w:spacing w:val="-4"/>
          <w:sz w:val="24"/>
          <w:szCs w:val="24"/>
        </w:rPr>
        <w:t xml:space="preserve"> </w:t>
      </w:r>
      <w:r w:rsidRPr="007F2260">
        <w:rPr>
          <w:sz w:val="24"/>
          <w:szCs w:val="24"/>
        </w:rPr>
        <w:t>else.</w:t>
      </w:r>
      <w:r w:rsidRPr="007F2260">
        <w:rPr>
          <w:spacing w:val="-2"/>
          <w:sz w:val="24"/>
          <w:szCs w:val="24"/>
        </w:rPr>
        <w:t xml:space="preserve"> </w:t>
      </w:r>
      <w:r w:rsidRPr="007F2260">
        <w:rPr>
          <w:sz w:val="24"/>
          <w:szCs w:val="24"/>
        </w:rPr>
        <w:t>Without</w:t>
      </w:r>
      <w:r w:rsidRPr="007F2260">
        <w:rPr>
          <w:spacing w:val="-4"/>
          <w:sz w:val="24"/>
          <w:szCs w:val="24"/>
        </w:rPr>
        <w:t xml:space="preserve"> </w:t>
      </w:r>
      <w:r w:rsidRPr="007F2260">
        <w:rPr>
          <w:sz w:val="24"/>
          <w:szCs w:val="24"/>
        </w:rPr>
        <w:t xml:space="preserve">this then GPs may be deemed to </w:t>
      </w:r>
      <w:r w:rsidR="00750F53" w:rsidRPr="007F2260">
        <w:rPr>
          <w:sz w:val="24"/>
          <w:szCs w:val="24"/>
        </w:rPr>
        <w:t>be operating</w:t>
      </w:r>
      <w:r w:rsidRPr="007F2260">
        <w:rPr>
          <w:sz w:val="24"/>
          <w:szCs w:val="24"/>
        </w:rPr>
        <w:t xml:space="preserve"> outside of Good Medical Practice.</w:t>
      </w:r>
    </w:p>
    <w:p w14:paraId="1B1101F9" w14:textId="77777777" w:rsidR="00750F53" w:rsidRPr="00750F53" w:rsidRDefault="00750F53" w:rsidP="00750F53">
      <w:pPr>
        <w:tabs>
          <w:tab w:val="left" w:pos="460"/>
          <w:tab w:val="left" w:pos="461"/>
        </w:tabs>
        <w:ind w:right="771"/>
        <w:rPr>
          <w:sz w:val="24"/>
        </w:rPr>
      </w:pPr>
    </w:p>
    <w:p w14:paraId="572E6BD1" w14:textId="77777777" w:rsidR="00895985" w:rsidRDefault="007F2260" w:rsidP="00750F53">
      <w:pPr>
        <w:tabs>
          <w:tab w:val="left" w:pos="460"/>
          <w:tab w:val="left" w:pos="461"/>
        </w:tabs>
        <w:spacing w:before="1"/>
        <w:ind w:right="269"/>
        <w:rPr>
          <w:sz w:val="24"/>
        </w:rPr>
      </w:pPr>
      <w:r w:rsidRPr="00750F53">
        <w:rPr>
          <w:sz w:val="24"/>
        </w:rPr>
        <w:t>This</w:t>
      </w:r>
      <w:r w:rsidRPr="00750F53">
        <w:rPr>
          <w:spacing w:val="-4"/>
          <w:sz w:val="24"/>
        </w:rPr>
        <w:t xml:space="preserve"> </w:t>
      </w:r>
      <w:r w:rsidRPr="00750F53">
        <w:rPr>
          <w:sz w:val="24"/>
        </w:rPr>
        <w:t>is</w:t>
      </w:r>
      <w:r w:rsidRPr="00750F53">
        <w:rPr>
          <w:spacing w:val="-3"/>
          <w:sz w:val="24"/>
        </w:rPr>
        <w:t xml:space="preserve"> </w:t>
      </w:r>
      <w:r w:rsidRPr="00750F53">
        <w:rPr>
          <w:sz w:val="24"/>
        </w:rPr>
        <w:t>particularly</w:t>
      </w:r>
      <w:r w:rsidRPr="00750F53">
        <w:rPr>
          <w:spacing w:val="-3"/>
          <w:sz w:val="24"/>
        </w:rPr>
        <w:t xml:space="preserve"> </w:t>
      </w:r>
      <w:r w:rsidRPr="00750F53">
        <w:rPr>
          <w:sz w:val="24"/>
        </w:rPr>
        <w:t>pertinent</w:t>
      </w:r>
      <w:r w:rsidRPr="00750F53">
        <w:rPr>
          <w:spacing w:val="-5"/>
          <w:sz w:val="24"/>
        </w:rPr>
        <w:t xml:space="preserve"> </w:t>
      </w:r>
      <w:r w:rsidRPr="00750F53">
        <w:rPr>
          <w:sz w:val="24"/>
        </w:rPr>
        <w:t>with</w:t>
      </w:r>
      <w:r w:rsidRPr="00750F53">
        <w:rPr>
          <w:spacing w:val="-3"/>
          <w:sz w:val="24"/>
        </w:rPr>
        <w:t xml:space="preserve"> </w:t>
      </w:r>
      <w:r w:rsidRPr="00750F53">
        <w:rPr>
          <w:sz w:val="24"/>
        </w:rPr>
        <w:t>regards</w:t>
      </w:r>
      <w:r w:rsidRPr="00750F53">
        <w:rPr>
          <w:spacing w:val="-3"/>
          <w:sz w:val="24"/>
        </w:rPr>
        <w:t xml:space="preserve"> </w:t>
      </w:r>
      <w:r w:rsidRPr="00750F53">
        <w:rPr>
          <w:sz w:val="24"/>
        </w:rPr>
        <w:t>to</w:t>
      </w:r>
      <w:r w:rsidRPr="00750F53">
        <w:rPr>
          <w:spacing w:val="-3"/>
          <w:sz w:val="24"/>
        </w:rPr>
        <w:t xml:space="preserve"> </w:t>
      </w:r>
      <w:r w:rsidRPr="00750F53">
        <w:rPr>
          <w:sz w:val="24"/>
        </w:rPr>
        <w:t>private</w:t>
      </w:r>
      <w:r w:rsidRPr="00750F53">
        <w:rPr>
          <w:spacing w:val="-2"/>
          <w:sz w:val="24"/>
        </w:rPr>
        <w:t xml:space="preserve"> </w:t>
      </w:r>
      <w:r w:rsidRPr="00750F53">
        <w:rPr>
          <w:sz w:val="24"/>
        </w:rPr>
        <w:t>medications</w:t>
      </w:r>
      <w:r w:rsidRPr="00750F53">
        <w:rPr>
          <w:spacing w:val="-3"/>
          <w:sz w:val="24"/>
        </w:rPr>
        <w:t xml:space="preserve"> </w:t>
      </w:r>
      <w:r w:rsidRPr="00750F53">
        <w:rPr>
          <w:sz w:val="24"/>
        </w:rPr>
        <w:t>that</w:t>
      </w:r>
      <w:r w:rsidRPr="00750F53">
        <w:rPr>
          <w:spacing w:val="-3"/>
          <w:sz w:val="24"/>
        </w:rPr>
        <w:t xml:space="preserve"> </w:t>
      </w:r>
      <w:r w:rsidRPr="00750F53">
        <w:rPr>
          <w:sz w:val="24"/>
        </w:rPr>
        <w:t>fall</w:t>
      </w:r>
      <w:r w:rsidRPr="00750F53">
        <w:rPr>
          <w:spacing w:val="-4"/>
          <w:sz w:val="24"/>
        </w:rPr>
        <w:t xml:space="preserve"> </w:t>
      </w:r>
      <w:r w:rsidRPr="00750F53">
        <w:rPr>
          <w:sz w:val="24"/>
        </w:rPr>
        <w:t>within</w:t>
      </w:r>
      <w:r w:rsidRPr="00750F53">
        <w:rPr>
          <w:spacing w:val="-3"/>
          <w:sz w:val="24"/>
        </w:rPr>
        <w:t xml:space="preserve"> </w:t>
      </w:r>
      <w:r w:rsidRPr="00750F53">
        <w:rPr>
          <w:sz w:val="24"/>
        </w:rPr>
        <w:t>the ‘Amber – shared care’ category.</w:t>
      </w:r>
    </w:p>
    <w:p w14:paraId="4DA3DF33" w14:textId="77777777" w:rsidR="00750F53" w:rsidRPr="00750F53" w:rsidRDefault="00750F53" w:rsidP="00750F53">
      <w:pPr>
        <w:tabs>
          <w:tab w:val="left" w:pos="460"/>
          <w:tab w:val="left" w:pos="461"/>
        </w:tabs>
        <w:spacing w:before="1"/>
        <w:ind w:right="269"/>
        <w:rPr>
          <w:sz w:val="24"/>
        </w:rPr>
      </w:pPr>
    </w:p>
    <w:p w14:paraId="183399EB" w14:textId="58EF5BF2" w:rsidR="00895985" w:rsidRDefault="007F2260" w:rsidP="00750F53">
      <w:pPr>
        <w:tabs>
          <w:tab w:val="left" w:pos="460"/>
          <w:tab w:val="left" w:pos="461"/>
        </w:tabs>
      </w:pPr>
      <w:r w:rsidRPr="00750F53">
        <w:rPr>
          <w:sz w:val="24"/>
        </w:rPr>
        <w:t>See</w:t>
      </w:r>
      <w:r w:rsidRPr="00750F53">
        <w:rPr>
          <w:spacing w:val="-6"/>
          <w:sz w:val="24"/>
        </w:rPr>
        <w:t xml:space="preserve"> </w:t>
      </w:r>
      <w:r w:rsidRPr="00750F53">
        <w:rPr>
          <w:sz w:val="24"/>
        </w:rPr>
        <w:t>here</w:t>
      </w:r>
      <w:r w:rsidRPr="00750F53">
        <w:rPr>
          <w:spacing w:val="-3"/>
          <w:sz w:val="24"/>
        </w:rPr>
        <w:t xml:space="preserve"> </w:t>
      </w:r>
      <w:r w:rsidRPr="00750F53">
        <w:rPr>
          <w:sz w:val="24"/>
        </w:rPr>
        <w:t>for</w:t>
      </w:r>
      <w:r w:rsidRPr="00750F53">
        <w:rPr>
          <w:spacing w:val="-2"/>
          <w:sz w:val="24"/>
        </w:rPr>
        <w:t xml:space="preserve"> </w:t>
      </w:r>
      <w:r w:rsidRPr="00750F53">
        <w:rPr>
          <w:sz w:val="24"/>
        </w:rPr>
        <w:t>a</w:t>
      </w:r>
      <w:r w:rsidRPr="00750F53">
        <w:rPr>
          <w:spacing w:val="-3"/>
          <w:sz w:val="24"/>
        </w:rPr>
        <w:t xml:space="preserve"> </w:t>
      </w:r>
      <w:r w:rsidRPr="00750F53">
        <w:rPr>
          <w:sz w:val="24"/>
        </w:rPr>
        <w:t>full</w:t>
      </w:r>
      <w:r w:rsidRPr="00750F53">
        <w:rPr>
          <w:spacing w:val="-2"/>
          <w:sz w:val="24"/>
        </w:rPr>
        <w:t xml:space="preserve"> </w:t>
      </w:r>
      <w:r w:rsidRPr="00750F53">
        <w:rPr>
          <w:sz w:val="24"/>
        </w:rPr>
        <w:t>list</w:t>
      </w:r>
      <w:r w:rsidRPr="00750F53">
        <w:rPr>
          <w:spacing w:val="-3"/>
          <w:sz w:val="24"/>
        </w:rPr>
        <w:t xml:space="preserve"> </w:t>
      </w:r>
      <w:r w:rsidRPr="00750F53">
        <w:rPr>
          <w:sz w:val="24"/>
        </w:rPr>
        <w:t>of</w:t>
      </w:r>
      <w:r w:rsidRPr="00750F53">
        <w:rPr>
          <w:spacing w:val="-1"/>
          <w:sz w:val="24"/>
        </w:rPr>
        <w:t xml:space="preserve"> </w:t>
      </w:r>
      <w:r w:rsidRPr="00750F53">
        <w:rPr>
          <w:sz w:val="24"/>
        </w:rPr>
        <w:t>all</w:t>
      </w:r>
      <w:r w:rsidRPr="00750F53">
        <w:rPr>
          <w:spacing w:val="-2"/>
          <w:sz w:val="24"/>
        </w:rPr>
        <w:t xml:space="preserve"> </w:t>
      </w:r>
      <w:r w:rsidRPr="00750F53">
        <w:rPr>
          <w:sz w:val="24"/>
        </w:rPr>
        <w:t>medications</w:t>
      </w:r>
      <w:r w:rsidRPr="00750F53">
        <w:rPr>
          <w:spacing w:val="-2"/>
          <w:sz w:val="24"/>
        </w:rPr>
        <w:t xml:space="preserve"> </w:t>
      </w:r>
      <w:r w:rsidRPr="00750F53">
        <w:rPr>
          <w:sz w:val="24"/>
        </w:rPr>
        <w:t>that</w:t>
      </w:r>
      <w:r w:rsidRPr="00750F53">
        <w:rPr>
          <w:spacing w:val="-3"/>
          <w:sz w:val="24"/>
        </w:rPr>
        <w:t xml:space="preserve"> </w:t>
      </w:r>
      <w:r w:rsidRPr="00750F53">
        <w:rPr>
          <w:sz w:val="24"/>
        </w:rPr>
        <w:t>require</w:t>
      </w:r>
      <w:r w:rsidRPr="00750F53">
        <w:rPr>
          <w:spacing w:val="-3"/>
          <w:sz w:val="24"/>
        </w:rPr>
        <w:t xml:space="preserve"> </w:t>
      </w:r>
      <w:r w:rsidRPr="00750F53">
        <w:rPr>
          <w:spacing w:val="-2"/>
          <w:sz w:val="24"/>
        </w:rPr>
        <w:t>SCAs:</w:t>
      </w:r>
      <w:r w:rsidR="00750F53">
        <w:rPr>
          <w:spacing w:val="-2"/>
          <w:sz w:val="24"/>
        </w:rPr>
        <w:t xml:space="preserve"> </w:t>
      </w:r>
      <w:hyperlink r:id="rId7">
        <w:r w:rsidR="00895985">
          <w:rPr>
            <w:color w:val="0000FF"/>
            <w:spacing w:val="-2"/>
            <w:u w:val="single" w:color="0000FF"/>
          </w:rPr>
          <w:t>https://bswtogether.org.uk/medicines/area-prescribing-committee/shared-care-</w:t>
        </w:r>
      </w:hyperlink>
      <w:r w:rsidR="00895985">
        <w:rPr>
          <w:color w:val="0000FF"/>
          <w:spacing w:val="-2"/>
        </w:rPr>
        <w:t xml:space="preserve"> </w:t>
      </w:r>
      <w:hyperlink r:id="rId8">
        <w:r w:rsidR="00895985">
          <w:rPr>
            <w:color w:val="0000FF"/>
            <w:spacing w:val="-2"/>
            <w:u w:val="single" w:color="0000FF"/>
          </w:rPr>
          <w:t>agreement/</w:t>
        </w:r>
      </w:hyperlink>
    </w:p>
    <w:p w14:paraId="3D45EBAB" w14:textId="77777777" w:rsidR="00750F53" w:rsidRDefault="00750F53" w:rsidP="00750F53">
      <w:pPr>
        <w:tabs>
          <w:tab w:val="left" w:pos="460"/>
          <w:tab w:val="left" w:pos="461"/>
        </w:tabs>
        <w:ind w:right="296"/>
        <w:rPr>
          <w:sz w:val="24"/>
        </w:rPr>
      </w:pPr>
    </w:p>
    <w:p w14:paraId="0EA489AA" w14:textId="164702DF" w:rsidR="00895985" w:rsidRPr="00750F53" w:rsidRDefault="007F2260" w:rsidP="00750F53">
      <w:pPr>
        <w:tabs>
          <w:tab w:val="left" w:pos="460"/>
          <w:tab w:val="left" w:pos="461"/>
        </w:tabs>
        <w:ind w:right="296"/>
        <w:rPr>
          <w:sz w:val="24"/>
        </w:rPr>
      </w:pPr>
      <w:r w:rsidRPr="00750F53">
        <w:rPr>
          <w:sz w:val="24"/>
        </w:rPr>
        <w:t xml:space="preserve">It is </w:t>
      </w:r>
      <w:r w:rsidRPr="00750F53">
        <w:rPr>
          <w:sz w:val="24"/>
        </w:rPr>
        <w:t>also important to remember that formal shared care arrangements are voluntary</w:t>
      </w:r>
      <w:r w:rsidRPr="00750F53">
        <w:rPr>
          <w:spacing w:val="-1"/>
          <w:sz w:val="24"/>
        </w:rPr>
        <w:t xml:space="preserve"> </w:t>
      </w:r>
      <w:r w:rsidRPr="00750F53">
        <w:rPr>
          <w:sz w:val="24"/>
        </w:rPr>
        <w:t>on</w:t>
      </w:r>
      <w:r w:rsidRPr="00750F53">
        <w:rPr>
          <w:spacing w:val="-3"/>
          <w:sz w:val="24"/>
        </w:rPr>
        <w:t xml:space="preserve"> </w:t>
      </w:r>
      <w:r w:rsidRPr="00750F53">
        <w:rPr>
          <w:sz w:val="24"/>
        </w:rPr>
        <w:t>the</w:t>
      </w:r>
      <w:r w:rsidRPr="00750F53">
        <w:rPr>
          <w:spacing w:val="-3"/>
          <w:sz w:val="24"/>
        </w:rPr>
        <w:t xml:space="preserve"> </w:t>
      </w:r>
      <w:r w:rsidRPr="00750F53">
        <w:rPr>
          <w:sz w:val="24"/>
        </w:rPr>
        <w:t>part</w:t>
      </w:r>
      <w:r w:rsidRPr="00750F53">
        <w:rPr>
          <w:spacing w:val="-4"/>
          <w:sz w:val="24"/>
        </w:rPr>
        <w:t xml:space="preserve"> </w:t>
      </w:r>
      <w:r w:rsidRPr="00750F53">
        <w:rPr>
          <w:sz w:val="24"/>
        </w:rPr>
        <w:t>of</w:t>
      </w:r>
      <w:r w:rsidRPr="00750F53">
        <w:rPr>
          <w:spacing w:val="-3"/>
          <w:sz w:val="24"/>
        </w:rPr>
        <w:t xml:space="preserve"> </w:t>
      </w:r>
      <w:r w:rsidRPr="00750F53">
        <w:rPr>
          <w:sz w:val="24"/>
        </w:rPr>
        <w:t>the</w:t>
      </w:r>
      <w:r w:rsidRPr="00750F53">
        <w:rPr>
          <w:spacing w:val="-3"/>
          <w:sz w:val="24"/>
        </w:rPr>
        <w:t xml:space="preserve"> </w:t>
      </w:r>
      <w:r w:rsidRPr="00750F53">
        <w:rPr>
          <w:sz w:val="24"/>
        </w:rPr>
        <w:t>GP</w:t>
      </w:r>
      <w:r w:rsidRPr="00750F53">
        <w:rPr>
          <w:spacing w:val="-5"/>
          <w:sz w:val="24"/>
        </w:rPr>
        <w:t xml:space="preserve"> </w:t>
      </w:r>
      <w:r w:rsidRPr="00750F53">
        <w:rPr>
          <w:sz w:val="24"/>
        </w:rPr>
        <w:t>and</w:t>
      </w:r>
      <w:r w:rsidRPr="00750F53">
        <w:rPr>
          <w:spacing w:val="-3"/>
          <w:sz w:val="24"/>
        </w:rPr>
        <w:t xml:space="preserve"> </w:t>
      </w:r>
      <w:r w:rsidRPr="00750F53">
        <w:rPr>
          <w:sz w:val="24"/>
        </w:rPr>
        <w:t>the</w:t>
      </w:r>
      <w:r w:rsidRPr="00750F53">
        <w:rPr>
          <w:spacing w:val="-3"/>
          <w:sz w:val="24"/>
        </w:rPr>
        <w:t xml:space="preserve"> </w:t>
      </w:r>
      <w:r w:rsidRPr="00750F53">
        <w:rPr>
          <w:sz w:val="24"/>
        </w:rPr>
        <w:t>GP</w:t>
      </w:r>
      <w:r w:rsidRPr="00750F53">
        <w:rPr>
          <w:spacing w:val="-5"/>
          <w:sz w:val="24"/>
        </w:rPr>
        <w:t xml:space="preserve"> </w:t>
      </w:r>
      <w:r w:rsidRPr="00750F53">
        <w:rPr>
          <w:sz w:val="24"/>
        </w:rPr>
        <w:t>should</w:t>
      </w:r>
      <w:r w:rsidRPr="00750F53">
        <w:rPr>
          <w:spacing w:val="-3"/>
          <w:sz w:val="24"/>
        </w:rPr>
        <w:t xml:space="preserve"> </w:t>
      </w:r>
      <w:r w:rsidRPr="00750F53">
        <w:rPr>
          <w:sz w:val="24"/>
        </w:rPr>
        <w:t>be</w:t>
      </w:r>
      <w:r w:rsidRPr="00750F53">
        <w:rPr>
          <w:spacing w:val="-1"/>
          <w:sz w:val="24"/>
        </w:rPr>
        <w:t xml:space="preserve"> </w:t>
      </w:r>
      <w:r w:rsidRPr="00750F53">
        <w:rPr>
          <w:sz w:val="24"/>
        </w:rPr>
        <w:t>mindful</w:t>
      </w:r>
      <w:r w:rsidRPr="00750F53">
        <w:rPr>
          <w:spacing w:val="-2"/>
          <w:sz w:val="24"/>
        </w:rPr>
        <w:t xml:space="preserve"> </w:t>
      </w:r>
      <w:r w:rsidRPr="00750F53">
        <w:rPr>
          <w:sz w:val="24"/>
        </w:rPr>
        <w:t>of</w:t>
      </w:r>
      <w:r w:rsidRPr="00750F53">
        <w:rPr>
          <w:spacing w:val="-1"/>
          <w:sz w:val="24"/>
        </w:rPr>
        <w:t xml:space="preserve"> </w:t>
      </w:r>
      <w:r w:rsidRPr="00750F53">
        <w:rPr>
          <w:sz w:val="24"/>
        </w:rPr>
        <w:t>their</w:t>
      </w:r>
      <w:r w:rsidRPr="00750F53">
        <w:rPr>
          <w:spacing w:val="-3"/>
          <w:sz w:val="24"/>
        </w:rPr>
        <w:t xml:space="preserve"> </w:t>
      </w:r>
      <w:r w:rsidRPr="00750F53">
        <w:rPr>
          <w:sz w:val="24"/>
        </w:rPr>
        <w:t>own</w:t>
      </w:r>
      <w:r w:rsidRPr="00750F53">
        <w:rPr>
          <w:spacing w:val="-1"/>
          <w:sz w:val="24"/>
        </w:rPr>
        <w:t xml:space="preserve"> </w:t>
      </w:r>
      <w:r w:rsidRPr="00750F53">
        <w:rPr>
          <w:sz w:val="24"/>
        </w:rPr>
        <w:t>clinical competence</w:t>
      </w:r>
      <w:r w:rsidRPr="00750F53">
        <w:rPr>
          <w:spacing w:val="-6"/>
          <w:sz w:val="24"/>
        </w:rPr>
        <w:t xml:space="preserve"> </w:t>
      </w:r>
      <w:r w:rsidRPr="00750F53">
        <w:rPr>
          <w:sz w:val="24"/>
        </w:rPr>
        <w:t>and</w:t>
      </w:r>
      <w:r w:rsidRPr="00750F53">
        <w:rPr>
          <w:spacing w:val="-4"/>
          <w:sz w:val="24"/>
        </w:rPr>
        <w:t xml:space="preserve"> </w:t>
      </w:r>
      <w:r w:rsidRPr="00750F53">
        <w:rPr>
          <w:sz w:val="24"/>
        </w:rPr>
        <w:t>workload</w:t>
      </w:r>
      <w:r w:rsidRPr="00750F53">
        <w:rPr>
          <w:spacing w:val="-4"/>
          <w:sz w:val="24"/>
        </w:rPr>
        <w:t xml:space="preserve"> </w:t>
      </w:r>
      <w:r w:rsidRPr="00750F53">
        <w:rPr>
          <w:sz w:val="24"/>
        </w:rPr>
        <w:t>capacity</w:t>
      </w:r>
      <w:r w:rsidRPr="00750F53">
        <w:rPr>
          <w:spacing w:val="-7"/>
          <w:sz w:val="24"/>
        </w:rPr>
        <w:t xml:space="preserve"> </w:t>
      </w:r>
      <w:r w:rsidRPr="00750F53">
        <w:rPr>
          <w:sz w:val="24"/>
        </w:rPr>
        <w:t>when</w:t>
      </w:r>
      <w:r w:rsidRPr="00750F53">
        <w:rPr>
          <w:spacing w:val="-4"/>
          <w:sz w:val="24"/>
        </w:rPr>
        <w:t xml:space="preserve"> </w:t>
      </w:r>
      <w:r w:rsidRPr="00750F53">
        <w:rPr>
          <w:sz w:val="24"/>
        </w:rPr>
        <w:t>considering</w:t>
      </w:r>
      <w:r w:rsidRPr="00750F53">
        <w:rPr>
          <w:spacing w:val="-4"/>
          <w:sz w:val="24"/>
        </w:rPr>
        <w:t xml:space="preserve"> </w:t>
      </w:r>
      <w:r w:rsidRPr="00750F53">
        <w:rPr>
          <w:sz w:val="24"/>
        </w:rPr>
        <w:t>agreeing</w:t>
      </w:r>
      <w:r w:rsidRPr="00750F53">
        <w:rPr>
          <w:spacing w:val="-4"/>
          <w:sz w:val="24"/>
        </w:rPr>
        <w:t xml:space="preserve"> </w:t>
      </w:r>
      <w:r w:rsidRPr="00750F53">
        <w:rPr>
          <w:sz w:val="24"/>
        </w:rPr>
        <w:t>to</w:t>
      </w:r>
      <w:r w:rsidRPr="00750F53">
        <w:rPr>
          <w:spacing w:val="-4"/>
          <w:sz w:val="24"/>
        </w:rPr>
        <w:t xml:space="preserve"> </w:t>
      </w:r>
      <w:r w:rsidRPr="00750F53">
        <w:rPr>
          <w:sz w:val="24"/>
        </w:rPr>
        <w:t>enter</w:t>
      </w:r>
      <w:r w:rsidRPr="00750F53">
        <w:rPr>
          <w:spacing w:val="-4"/>
          <w:sz w:val="24"/>
        </w:rPr>
        <w:t xml:space="preserve"> </w:t>
      </w:r>
      <w:r w:rsidRPr="00750F53">
        <w:rPr>
          <w:sz w:val="24"/>
        </w:rPr>
        <w:t>into</w:t>
      </w:r>
      <w:r w:rsidRPr="00750F53">
        <w:rPr>
          <w:spacing w:val="-3"/>
          <w:sz w:val="24"/>
        </w:rPr>
        <w:t xml:space="preserve"> </w:t>
      </w:r>
      <w:r w:rsidRPr="00750F53">
        <w:rPr>
          <w:sz w:val="24"/>
        </w:rPr>
        <w:t>such an arrangement. Workload requested for an individual patients will need to be considered in balance with the reasonable needs of the practice population and whether further workload can be absorbed by the practice team safely.</w:t>
      </w:r>
    </w:p>
    <w:p w14:paraId="3F2CB407" w14:textId="77777777" w:rsidR="00750F53" w:rsidRDefault="00750F53" w:rsidP="00750F53">
      <w:pPr>
        <w:tabs>
          <w:tab w:val="left" w:pos="460"/>
          <w:tab w:val="left" w:pos="461"/>
        </w:tabs>
        <w:ind w:right="464"/>
        <w:rPr>
          <w:sz w:val="24"/>
        </w:rPr>
      </w:pPr>
    </w:p>
    <w:p w14:paraId="75EBF636" w14:textId="77777777" w:rsidR="007F2260" w:rsidRDefault="007F2260" w:rsidP="00750F53">
      <w:pPr>
        <w:tabs>
          <w:tab w:val="left" w:pos="460"/>
          <w:tab w:val="left" w:pos="461"/>
        </w:tabs>
        <w:ind w:right="464"/>
        <w:rPr>
          <w:sz w:val="24"/>
        </w:rPr>
      </w:pPr>
    </w:p>
    <w:p w14:paraId="65E01357" w14:textId="77777777" w:rsidR="007F2260" w:rsidRDefault="007F2260" w:rsidP="00750F53">
      <w:pPr>
        <w:tabs>
          <w:tab w:val="left" w:pos="460"/>
          <w:tab w:val="left" w:pos="461"/>
        </w:tabs>
        <w:ind w:right="464"/>
        <w:rPr>
          <w:sz w:val="24"/>
        </w:rPr>
      </w:pPr>
    </w:p>
    <w:p w14:paraId="65CDEAD2" w14:textId="77777777" w:rsidR="007F2260" w:rsidRPr="00750F53" w:rsidRDefault="007F2260" w:rsidP="00750F53">
      <w:pPr>
        <w:tabs>
          <w:tab w:val="left" w:pos="460"/>
          <w:tab w:val="left" w:pos="461"/>
        </w:tabs>
        <w:ind w:right="464"/>
        <w:rPr>
          <w:sz w:val="24"/>
        </w:rPr>
      </w:pPr>
    </w:p>
    <w:p w14:paraId="59420890" w14:textId="3E6EE3FA" w:rsidR="00895985" w:rsidRPr="00750F53" w:rsidRDefault="007F2260" w:rsidP="00750F53">
      <w:pPr>
        <w:tabs>
          <w:tab w:val="left" w:pos="460"/>
          <w:tab w:val="left" w:pos="461"/>
        </w:tabs>
        <w:ind w:right="464"/>
        <w:rPr>
          <w:sz w:val="24"/>
        </w:rPr>
      </w:pPr>
      <w:r w:rsidRPr="00750F53">
        <w:rPr>
          <w:sz w:val="24"/>
        </w:rPr>
        <w:t>S</w:t>
      </w:r>
      <w:r w:rsidR="006354A7" w:rsidRPr="00750F53">
        <w:rPr>
          <w:sz w:val="24"/>
        </w:rPr>
        <w:t>pa</w:t>
      </w:r>
      <w:r w:rsidRPr="00750F53">
        <w:rPr>
          <w:spacing w:val="-3"/>
          <w:sz w:val="24"/>
        </w:rPr>
        <w:t xml:space="preserve"> </w:t>
      </w:r>
      <w:r w:rsidRPr="00750F53">
        <w:rPr>
          <w:sz w:val="24"/>
        </w:rPr>
        <w:t>Medical</w:t>
      </w:r>
      <w:r w:rsidRPr="00750F53">
        <w:rPr>
          <w:spacing w:val="-4"/>
          <w:sz w:val="24"/>
        </w:rPr>
        <w:t xml:space="preserve"> </w:t>
      </w:r>
      <w:r w:rsidR="006354A7" w:rsidRPr="00750F53">
        <w:rPr>
          <w:sz w:val="24"/>
        </w:rPr>
        <w:t>Centre</w:t>
      </w:r>
      <w:r w:rsidRPr="00750F53">
        <w:rPr>
          <w:spacing w:val="-3"/>
          <w:sz w:val="24"/>
        </w:rPr>
        <w:t xml:space="preserve"> </w:t>
      </w:r>
      <w:r w:rsidRPr="00750F53">
        <w:rPr>
          <w:sz w:val="24"/>
        </w:rPr>
        <w:t>will</w:t>
      </w:r>
      <w:r w:rsidRPr="00750F53">
        <w:rPr>
          <w:spacing w:val="-1"/>
          <w:sz w:val="24"/>
        </w:rPr>
        <w:t xml:space="preserve"> </w:t>
      </w:r>
      <w:r w:rsidRPr="00750F53">
        <w:rPr>
          <w:sz w:val="24"/>
        </w:rPr>
        <w:t>consider</w:t>
      </w:r>
      <w:r w:rsidRPr="00750F53">
        <w:rPr>
          <w:spacing w:val="-3"/>
          <w:sz w:val="24"/>
        </w:rPr>
        <w:t xml:space="preserve"> </w:t>
      </w:r>
      <w:r w:rsidRPr="00750F53">
        <w:rPr>
          <w:sz w:val="24"/>
        </w:rPr>
        <w:t>the</w:t>
      </w:r>
      <w:r w:rsidRPr="00750F53">
        <w:rPr>
          <w:spacing w:val="-5"/>
          <w:sz w:val="24"/>
        </w:rPr>
        <w:t xml:space="preserve"> </w:t>
      </w:r>
      <w:r w:rsidRPr="00750F53">
        <w:rPr>
          <w:sz w:val="24"/>
        </w:rPr>
        <w:t>following</w:t>
      </w:r>
      <w:r w:rsidRPr="00750F53">
        <w:rPr>
          <w:spacing w:val="-3"/>
          <w:sz w:val="24"/>
        </w:rPr>
        <w:t xml:space="preserve"> </w:t>
      </w:r>
      <w:r w:rsidRPr="00750F53">
        <w:rPr>
          <w:sz w:val="24"/>
        </w:rPr>
        <w:t>points</w:t>
      </w:r>
      <w:r w:rsidRPr="00750F53">
        <w:rPr>
          <w:spacing w:val="-3"/>
          <w:sz w:val="24"/>
        </w:rPr>
        <w:t xml:space="preserve"> </w:t>
      </w:r>
      <w:r w:rsidRPr="00750F53">
        <w:rPr>
          <w:sz w:val="24"/>
        </w:rPr>
        <w:t>and</w:t>
      </w:r>
      <w:r w:rsidRPr="00750F53">
        <w:rPr>
          <w:spacing w:val="-3"/>
          <w:sz w:val="24"/>
        </w:rPr>
        <w:t xml:space="preserve"> </w:t>
      </w:r>
      <w:r w:rsidRPr="00750F53">
        <w:rPr>
          <w:sz w:val="24"/>
        </w:rPr>
        <w:t>will</w:t>
      </w:r>
      <w:r w:rsidRPr="00750F53">
        <w:rPr>
          <w:spacing w:val="-6"/>
          <w:sz w:val="24"/>
        </w:rPr>
        <w:t xml:space="preserve"> </w:t>
      </w:r>
      <w:r w:rsidRPr="00750F53">
        <w:rPr>
          <w:sz w:val="24"/>
        </w:rPr>
        <w:t>not take</w:t>
      </w:r>
      <w:r w:rsidRPr="00750F53">
        <w:rPr>
          <w:spacing w:val="-5"/>
          <w:sz w:val="24"/>
        </w:rPr>
        <w:t xml:space="preserve"> </w:t>
      </w:r>
      <w:r w:rsidRPr="00750F53">
        <w:rPr>
          <w:sz w:val="24"/>
        </w:rPr>
        <w:t xml:space="preserve">on </w:t>
      </w:r>
      <w:r w:rsidR="0053794C" w:rsidRPr="00750F53">
        <w:rPr>
          <w:sz w:val="24"/>
        </w:rPr>
        <w:t>shared care with</w:t>
      </w:r>
      <w:r w:rsidRPr="00750F53">
        <w:rPr>
          <w:sz w:val="24"/>
        </w:rPr>
        <w:t xml:space="preserve"> any NHS </w:t>
      </w:r>
      <w:r w:rsidR="006354A7" w:rsidRPr="00750F53">
        <w:rPr>
          <w:sz w:val="24"/>
        </w:rPr>
        <w:t>provider if</w:t>
      </w:r>
      <w:r w:rsidRPr="00750F53">
        <w:rPr>
          <w:sz w:val="24"/>
        </w:rPr>
        <w:t xml:space="preserve"> the </w:t>
      </w:r>
      <w:r w:rsidR="0053794C" w:rsidRPr="00750F53">
        <w:rPr>
          <w:sz w:val="24"/>
        </w:rPr>
        <w:t>P</w:t>
      </w:r>
      <w:r w:rsidRPr="00750F53">
        <w:rPr>
          <w:sz w:val="24"/>
        </w:rPr>
        <w:t>ractice is not satisfied that these requirements can be met.</w:t>
      </w:r>
    </w:p>
    <w:p w14:paraId="78D40AA3" w14:textId="77777777" w:rsidR="007F2260" w:rsidRDefault="007F2260" w:rsidP="007F2260">
      <w:pPr>
        <w:pStyle w:val="TableParagraph"/>
        <w:numPr>
          <w:ilvl w:val="0"/>
          <w:numId w:val="2"/>
        </w:numPr>
        <w:rPr>
          <w:sz w:val="24"/>
        </w:rPr>
      </w:pPr>
      <w:r>
        <w:rPr>
          <w:sz w:val="24"/>
        </w:rPr>
        <w:t>The specialist has sought agreement of the practice and made clear the nature and responsibilities</w:t>
      </w:r>
      <w:r>
        <w:rPr>
          <w:spacing w:val="-6"/>
          <w:sz w:val="24"/>
        </w:rPr>
        <w:t xml:space="preserve"> </w:t>
      </w:r>
      <w:r>
        <w:rPr>
          <w:sz w:val="24"/>
        </w:rPr>
        <w:t>of</w:t>
      </w:r>
      <w:r>
        <w:rPr>
          <w:spacing w:val="-4"/>
          <w:sz w:val="24"/>
        </w:rPr>
        <w:t xml:space="preserve"> </w:t>
      </w:r>
      <w:r>
        <w:rPr>
          <w:sz w:val="24"/>
        </w:rPr>
        <w:t>each</w:t>
      </w:r>
      <w:r>
        <w:rPr>
          <w:spacing w:val="-6"/>
          <w:sz w:val="24"/>
        </w:rPr>
        <w:t xml:space="preserve"> </w:t>
      </w:r>
      <w:r>
        <w:rPr>
          <w:sz w:val="24"/>
        </w:rPr>
        <w:t>party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shared</w:t>
      </w:r>
      <w:r>
        <w:rPr>
          <w:spacing w:val="-6"/>
          <w:sz w:val="24"/>
        </w:rPr>
        <w:t xml:space="preserve"> </w:t>
      </w:r>
      <w:r>
        <w:rPr>
          <w:sz w:val="24"/>
        </w:rPr>
        <w:t>care</w:t>
      </w:r>
      <w:r>
        <w:rPr>
          <w:spacing w:val="-4"/>
          <w:sz w:val="24"/>
        </w:rPr>
        <w:t xml:space="preserve"> </w:t>
      </w:r>
      <w:r>
        <w:rPr>
          <w:sz w:val="24"/>
        </w:rPr>
        <w:t>arrangement</w:t>
      </w:r>
      <w:r>
        <w:rPr>
          <w:spacing w:val="-6"/>
          <w:sz w:val="24"/>
        </w:rPr>
        <w:t xml:space="preserve"> </w:t>
      </w:r>
      <w:r>
        <w:rPr>
          <w:sz w:val="24"/>
        </w:rPr>
        <w:t>before</w:t>
      </w:r>
      <w:r>
        <w:rPr>
          <w:spacing w:val="-6"/>
          <w:sz w:val="24"/>
        </w:rPr>
        <w:t xml:space="preserve"> </w:t>
      </w:r>
      <w:r>
        <w:rPr>
          <w:sz w:val="24"/>
        </w:rPr>
        <w:t>transferring any care or prescribing and the Practice feels assured by what they have been told.</w:t>
      </w:r>
    </w:p>
    <w:p w14:paraId="1501720A" w14:textId="2A28F50D" w:rsidR="007F2260" w:rsidRDefault="007F2260" w:rsidP="007F2260">
      <w:pPr>
        <w:pStyle w:val="TableParagraph"/>
        <w:numPr>
          <w:ilvl w:val="0"/>
          <w:numId w:val="2"/>
        </w:numPr>
        <w:rPr>
          <w:sz w:val="24"/>
        </w:rPr>
      </w:pPr>
      <w:r>
        <w:rPr>
          <w:sz w:val="24"/>
        </w:rPr>
        <w:t>The practice</w:t>
      </w:r>
      <w:r>
        <w:rPr>
          <w:spacing w:val="-5"/>
          <w:sz w:val="24"/>
        </w:rPr>
        <w:t xml:space="preserve"> </w:t>
      </w:r>
      <w:r>
        <w:rPr>
          <w:sz w:val="24"/>
        </w:rPr>
        <w:t>feel</w:t>
      </w:r>
      <w:r>
        <w:rPr>
          <w:spacing w:val="-6"/>
          <w:sz w:val="24"/>
        </w:rPr>
        <w:t xml:space="preserve">s </w:t>
      </w:r>
      <w:r>
        <w:rPr>
          <w:sz w:val="24"/>
        </w:rPr>
        <w:t>that</w:t>
      </w:r>
      <w:r>
        <w:rPr>
          <w:spacing w:val="-3"/>
          <w:sz w:val="24"/>
        </w:rPr>
        <w:t xml:space="preserve"> </w:t>
      </w:r>
      <w:r>
        <w:rPr>
          <w:sz w:val="24"/>
        </w:rPr>
        <w:t>the</w:t>
      </w:r>
      <w:r>
        <w:rPr>
          <w:spacing w:val="-3"/>
          <w:sz w:val="24"/>
        </w:rPr>
        <w:t xml:space="preserve"> </w:t>
      </w:r>
      <w:r>
        <w:rPr>
          <w:sz w:val="24"/>
        </w:rPr>
        <w:t>prescribing</w:t>
      </w:r>
      <w:r>
        <w:rPr>
          <w:spacing w:val="-2"/>
          <w:sz w:val="24"/>
        </w:rPr>
        <w:t xml:space="preserve"> </w:t>
      </w:r>
      <w:r>
        <w:rPr>
          <w:sz w:val="24"/>
        </w:rPr>
        <w:t>and</w:t>
      </w:r>
      <w:r>
        <w:rPr>
          <w:spacing w:val="-5"/>
          <w:sz w:val="24"/>
        </w:rPr>
        <w:t xml:space="preserve"> </w:t>
      </w:r>
      <w:r>
        <w:rPr>
          <w:sz w:val="24"/>
        </w:rPr>
        <w:t>associated</w:t>
      </w:r>
      <w:r>
        <w:rPr>
          <w:spacing w:val="-3"/>
          <w:sz w:val="24"/>
        </w:rPr>
        <w:t xml:space="preserve"> </w:t>
      </w:r>
      <w:r>
        <w:rPr>
          <w:sz w:val="24"/>
        </w:rPr>
        <w:t>knowledge</w:t>
      </w:r>
      <w:r>
        <w:rPr>
          <w:spacing w:val="-3"/>
          <w:sz w:val="24"/>
        </w:rPr>
        <w:t xml:space="preserve"> </w:t>
      </w:r>
      <w:r>
        <w:rPr>
          <w:sz w:val="24"/>
        </w:rPr>
        <w:t>required</w:t>
      </w:r>
      <w:r>
        <w:rPr>
          <w:spacing w:val="-5"/>
          <w:sz w:val="24"/>
        </w:rPr>
        <w:t xml:space="preserve"> </w:t>
      </w:r>
      <w:r>
        <w:rPr>
          <w:sz w:val="24"/>
        </w:rPr>
        <w:t>falls</w:t>
      </w:r>
      <w:r>
        <w:rPr>
          <w:spacing w:val="-3"/>
          <w:sz w:val="24"/>
        </w:rPr>
        <w:t xml:space="preserve"> </w:t>
      </w:r>
      <w:r>
        <w:rPr>
          <w:sz w:val="24"/>
        </w:rPr>
        <w:t>within the scope of your team’s professional competence.</w:t>
      </w:r>
    </w:p>
    <w:p w14:paraId="3F619233" w14:textId="68E8D24E" w:rsidR="007F2260" w:rsidRPr="007F2260" w:rsidRDefault="007F2260" w:rsidP="007F2260">
      <w:pPr>
        <w:pStyle w:val="TableParagraph"/>
        <w:numPr>
          <w:ilvl w:val="0"/>
          <w:numId w:val="2"/>
        </w:numPr>
        <w:rPr>
          <w:sz w:val="24"/>
        </w:rPr>
      </w:pPr>
      <w:r>
        <w:rPr>
          <w:sz w:val="24"/>
        </w:rPr>
        <w:t>The practice</w:t>
      </w:r>
      <w:r>
        <w:rPr>
          <w:spacing w:val="-4"/>
          <w:sz w:val="24"/>
        </w:rPr>
        <w:t xml:space="preserve"> </w:t>
      </w:r>
      <w:r>
        <w:rPr>
          <w:sz w:val="24"/>
        </w:rPr>
        <w:t>feels</w:t>
      </w:r>
      <w:r>
        <w:rPr>
          <w:spacing w:val="-5"/>
          <w:sz w:val="24"/>
        </w:rPr>
        <w:t xml:space="preserve"> </w:t>
      </w:r>
      <w:r>
        <w:rPr>
          <w:sz w:val="24"/>
        </w:rPr>
        <w:t>this</w:t>
      </w:r>
      <w:r>
        <w:rPr>
          <w:spacing w:val="-3"/>
          <w:sz w:val="24"/>
        </w:rPr>
        <w:t xml:space="preserve"> </w:t>
      </w:r>
      <w:r>
        <w:rPr>
          <w:sz w:val="24"/>
        </w:rPr>
        <w:t>falls</w:t>
      </w:r>
      <w:r>
        <w:rPr>
          <w:spacing w:val="-2"/>
          <w:sz w:val="24"/>
        </w:rPr>
        <w:t xml:space="preserve"> </w:t>
      </w:r>
      <w:r>
        <w:rPr>
          <w:sz w:val="24"/>
        </w:rPr>
        <w:t>within</w:t>
      </w:r>
      <w:r>
        <w:rPr>
          <w:spacing w:val="-2"/>
          <w:sz w:val="24"/>
        </w:rPr>
        <w:t xml:space="preserve"> </w:t>
      </w:r>
      <w:r>
        <w:rPr>
          <w:sz w:val="24"/>
        </w:rPr>
        <w:t>our</w:t>
      </w:r>
      <w:r>
        <w:rPr>
          <w:spacing w:val="-2"/>
          <w:sz w:val="24"/>
        </w:rPr>
        <w:t xml:space="preserve"> </w:t>
      </w:r>
      <w:r>
        <w:rPr>
          <w:sz w:val="24"/>
        </w:rPr>
        <w:t>team’s</w:t>
      </w:r>
      <w:r>
        <w:rPr>
          <w:spacing w:val="-2"/>
          <w:sz w:val="24"/>
        </w:rPr>
        <w:t xml:space="preserve"> current </w:t>
      </w:r>
      <w:r>
        <w:rPr>
          <w:sz w:val="24"/>
        </w:rPr>
        <w:t>workload</w:t>
      </w:r>
      <w:r>
        <w:rPr>
          <w:spacing w:val="-2"/>
          <w:sz w:val="24"/>
        </w:rPr>
        <w:t xml:space="preserve"> capacity.</w:t>
      </w:r>
    </w:p>
    <w:p w14:paraId="6EE90561" w14:textId="77777777" w:rsidR="007F2260" w:rsidRDefault="007F2260" w:rsidP="007F2260">
      <w:pPr>
        <w:pStyle w:val="TableParagraph"/>
        <w:numPr>
          <w:ilvl w:val="0"/>
          <w:numId w:val="2"/>
        </w:numPr>
        <w:rPr>
          <w:sz w:val="24"/>
        </w:rPr>
      </w:pPr>
      <w:r>
        <w:rPr>
          <w:sz w:val="24"/>
        </w:rPr>
        <w:t>There are adequate resources and sufficient capacity for the work of managing safe</w:t>
      </w:r>
      <w:r>
        <w:rPr>
          <w:spacing w:val="-3"/>
          <w:sz w:val="24"/>
        </w:rPr>
        <w:t xml:space="preserve"> </w:t>
      </w:r>
      <w:r>
        <w:rPr>
          <w:sz w:val="24"/>
        </w:rPr>
        <w:t>systems</w:t>
      </w:r>
      <w:r>
        <w:rPr>
          <w:spacing w:val="-4"/>
          <w:sz w:val="24"/>
        </w:rPr>
        <w:t xml:space="preserve"> </w:t>
      </w:r>
      <w:r>
        <w:rPr>
          <w:sz w:val="24"/>
        </w:rPr>
        <w:t>for</w:t>
      </w:r>
      <w:r>
        <w:rPr>
          <w:spacing w:val="-4"/>
          <w:sz w:val="24"/>
        </w:rPr>
        <w:t xml:space="preserve"> </w:t>
      </w:r>
      <w:r>
        <w:rPr>
          <w:sz w:val="24"/>
        </w:rPr>
        <w:t>monitoring</w:t>
      </w:r>
      <w:r>
        <w:rPr>
          <w:spacing w:val="-4"/>
          <w:sz w:val="24"/>
        </w:rPr>
        <w:t xml:space="preserve"> </w:t>
      </w:r>
      <w:r>
        <w:rPr>
          <w:sz w:val="24"/>
        </w:rPr>
        <w:t>and</w:t>
      </w:r>
      <w:r>
        <w:rPr>
          <w:spacing w:val="-6"/>
          <w:sz w:val="24"/>
        </w:rPr>
        <w:t xml:space="preserve"> </w:t>
      </w:r>
      <w:r>
        <w:rPr>
          <w:sz w:val="24"/>
        </w:rPr>
        <w:t>prescribing</w:t>
      </w:r>
      <w:r>
        <w:rPr>
          <w:spacing w:val="-3"/>
          <w:sz w:val="24"/>
        </w:rPr>
        <w:t xml:space="preserve"> </w:t>
      </w:r>
      <w:r>
        <w:rPr>
          <w:sz w:val="24"/>
        </w:rPr>
        <w:t>for</w:t>
      </w:r>
      <w:r>
        <w:rPr>
          <w:spacing w:val="-4"/>
          <w:sz w:val="24"/>
        </w:rPr>
        <w:t xml:space="preserve"> </w:t>
      </w:r>
      <w:r>
        <w:rPr>
          <w:sz w:val="24"/>
        </w:rPr>
        <w:t>this</w:t>
      </w:r>
      <w:r>
        <w:rPr>
          <w:spacing w:val="-5"/>
          <w:sz w:val="24"/>
        </w:rPr>
        <w:t xml:space="preserve"> </w:t>
      </w:r>
      <w:r>
        <w:rPr>
          <w:sz w:val="24"/>
        </w:rPr>
        <w:t>medication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practice.</w:t>
      </w:r>
    </w:p>
    <w:p w14:paraId="6131C8C8" w14:textId="77777777" w:rsidR="007F2260" w:rsidRDefault="007F2260" w:rsidP="007F2260">
      <w:pPr>
        <w:pStyle w:val="TableParagraph"/>
        <w:numPr>
          <w:ilvl w:val="0"/>
          <w:numId w:val="2"/>
        </w:numPr>
        <w:rPr>
          <w:sz w:val="24"/>
        </w:rPr>
      </w:pPr>
      <w:r>
        <w:rPr>
          <w:sz w:val="24"/>
        </w:rPr>
        <w:t>Specialist providers must be locally</w:t>
      </w:r>
      <w:r>
        <w:rPr>
          <w:spacing w:val="-3"/>
          <w:sz w:val="24"/>
        </w:rPr>
        <w:t xml:space="preserve"> </w:t>
      </w:r>
      <w:r>
        <w:rPr>
          <w:sz w:val="24"/>
        </w:rPr>
        <w:t>commissioned by the NHS</w:t>
      </w:r>
      <w:r>
        <w:rPr>
          <w:spacing w:val="-3"/>
          <w:sz w:val="24"/>
        </w:rPr>
        <w:t xml:space="preserve"> and Spa Medical Centre</w:t>
      </w:r>
      <w:r>
        <w:rPr>
          <w:sz w:val="24"/>
        </w:rPr>
        <w:t xml:space="preserve"> will not enter into Shared Care Agreements with private providers. </w:t>
      </w:r>
    </w:p>
    <w:p w14:paraId="68F2A5CF" w14:textId="0FD91E47" w:rsidR="007F2260" w:rsidRPr="007F2260" w:rsidRDefault="007F2260" w:rsidP="007F2260">
      <w:pPr>
        <w:pStyle w:val="TableParagraph"/>
        <w:numPr>
          <w:ilvl w:val="0"/>
          <w:numId w:val="2"/>
        </w:numPr>
        <w:rPr>
          <w:b/>
          <w:bCs/>
          <w:sz w:val="24"/>
        </w:rPr>
      </w:pPr>
      <w:r>
        <w:rPr>
          <w:b/>
          <w:sz w:val="24"/>
        </w:rPr>
        <w:t>Spa Medical Centre will not enter into shared care agreements for medication</w:t>
      </w:r>
      <w:r>
        <w:rPr>
          <w:b/>
          <w:spacing w:val="-7"/>
          <w:sz w:val="24"/>
        </w:rPr>
        <w:t xml:space="preserve"> </w:t>
      </w:r>
      <w:r>
        <w:rPr>
          <w:b/>
          <w:sz w:val="24"/>
        </w:rPr>
        <w:t>with</w:t>
      </w:r>
      <w:r>
        <w:rPr>
          <w:b/>
          <w:spacing w:val="-5"/>
          <w:sz w:val="24"/>
        </w:rPr>
        <w:t xml:space="preserve"> </w:t>
      </w:r>
      <w:r>
        <w:rPr>
          <w:b/>
          <w:sz w:val="24"/>
        </w:rPr>
        <w:t>private</w:t>
      </w:r>
      <w:r>
        <w:rPr>
          <w:b/>
          <w:spacing w:val="-4"/>
          <w:sz w:val="24"/>
        </w:rPr>
        <w:t xml:space="preserve"> </w:t>
      </w:r>
      <w:r>
        <w:rPr>
          <w:b/>
          <w:sz w:val="24"/>
        </w:rPr>
        <w:t>providers</w:t>
      </w:r>
      <w:r>
        <w:rPr>
          <w:b/>
          <w:bCs/>
          <w:sz w:val="24"/>
        </w:rPr>
        <w:t xml:space="preserve">. </w:t>
      </w:r>
      <w:r w:rsidRPr="007F2260">
        <w:rPr>
          <w:sz w:val="24"/>
        </w:rPr>
        <w:t xml:space="preserve">Patients under private providers will need to have medication prescribed by their private provider. </w:t>
      </w:r>
    </w:p>
    <w:p w14:paraId="7AF79FBC" w14:textId="77777777" w:rsidR="007F2260" w:rsidRDefault="007F2260" w:rsidP="007F2260">
      <w:pPr>
        <w:pStyle w:val="TableParagraph"/>
        <w:numPr>
          <w:ilvl w:val="0"/>
          <w:numId w:val="2"/>
        </w:numPr>
        <w:rPr>
          <w:sz w:val="24"/>
        </w:rPr>
      </w:pPr>
      <w:r>
        <w:rPr>
          <w:sz w:val="24"/>
        </w:rPr>
        <w:t>Where patients are under private providers but wish to transfer their care to an NHS provider, Spa Medical Centre will not consider taking on Shared Care until the patient is under care of a NHS specialist service.  During the period when the patient is waiting to be under the care of the NHS specialist service, the patient will need to continue to obtain care and medication from the private specialist service.</w:t>
      </w:r>
    </w:p>
    <w:p w14:paraId="1060D639" w14:textId="77777777" w:rsidR="007F2260" w:rsidRDefault="007F2260" w:rsidP="007F2260">
      <w:pPr>
        <w:pStyle w:val="TableParagraph"/>
        <w:numPr>
          <w:ilvl w:val="0"/>
          <w:numId w:val="2"/>
        </w:numPr>
        <w:rPr>
          <w:sz w:val="24"/>
        </w:rPr>
      </w:pPr>
      <w:r>
        <w:rPr>
          <w:sz w:val="24"/>
        </w:rPr>
        <w:t>In</w:t>
      </w:r>
      <w:r>
        <w:rPr>
          <w:spacing w:val="-4"/>
          <w:sz w:val="24"/>
        </w:rPr>
        <w:t xml:space="preserve"> </w:t>
      </w:r>
      <w:r>
        <w:rPr>
          <w:sz w:val="24"/>
        </w:rPr>
        <w:t>these</w:t>
      </w:r>
      <w:r>
        <w:rPr>
          <w:spacing w:val="-6"/>
          <w:sz w:val="24"/>
        </w:rPr>
        <w:t xml:space="preserve"> </w:t>
      </w:r>
      <w:r>
        <w:rPr>
          <w:sz w:val="24"/>
        </w:rPr>
        <w:t>circumstances</w:t>
      </w:r>
      <w:r>
        <w:rPr>
          <w:spacing w:val="-4"/>
          <w:sz w:val="24"/>
        </w:rPr>
        <w:t xml:space="preserve"> </w:t>
      </w:r>
      <w:r>
        <w:rPr>
          <w:sz w:val="24"/>
        </w:rPr>
        <w:t>the</w:t>
      </w:r>
      <w:r>
        <w:rPr>
          <w:spacing w:val="-6"/>
          <w:sz w:val="24"/>
        </w:rPr>
        <w:t xml:space="preserve"> </w:t>
      </w:r>
      <w:r>
        <w:rPr>
          <w:sz w:val="24"/>
        </w:rPr>
        <w:t>patient</w:t>
      </w:r>
      <w:r>
        <w:rPr>
          <w:spacing w:val="-4"/>
          <w:sz w:val="24"/>
        </w:rPr>
        <w:t xml:space="preserve"> </w:t>
      </w:r>
      <w:r>
        <w:rPr>
          <w:sz w:val="24"/>
        </w:rPr>
        <w:t>should ask their private provider to refer them into an appropriate NHS service. The reason for this is that it cannot be guaranteed that a private arrangement will continue between private and provider and patient.</w:t>
      </w:r>
    </w:p>
    <w:p w14:paraId="1D980227" w14:textId="77777777" w:rsidR="007F2260" w:rsidRDefault="007F2260" w:rsidP="007F2260">
      <w:pPr>
        <w:pStyle w:val="TableParagraph"/>
        <w:numPr>
          <w:ilvl w:val="0"/>
          <w:numId w:val="2"/>
        </w:numPr>
        <w:rPr>
          <w:sz w:val="24"/>
        </w:rPr>
      </w:pPr>
      <w:r>
        <w:rPr>
          <w:sz w:val="24"/>
        </w:rPr>
        <w:t>Spa Medical Centre currently agrees to take on longterm prescribing of medications that fall under the ‘Green’</w:t>
      </w:r>
      <w:r>
        <w:rPr>
          <w:spacing w:val="-1"/>
          <w:sz w:val="24"/>
        </w:rPr>
        <w:t xml:space="preserve"> </w:t>
      </w:r>
      <w:r>
        <w:rPr>
          <w:sz w:val="24"/>
        </w:rPr>
        <w:t>traffic light status or ‘Amber’ (that have been initiated by a private team and stabilised but don’t require shared care) but</w:t>
      </w:r>
      <w:r>
        <w:rPr>
          <w:spacing w:val="-5"/>
          <w:sz w:val="24"/>
        </w:rPr>
        <w:t xml:space="preserve"> </w:t>
      </w:r>
      <w:r>
        <w:rPr>
          <w:sz w:val="24"/>
        </w:rPr>
        <w:t>retains</w:t>
      </w:r>
      <w:r>
        <w:rPr>
          <w:spacing w:val="-5"/>
          <w:sz w:val="24"/>
        </w:rPr>
        <w:t xml:space="preserve"> </w:t>
      </w:r>
      <w:r>
        <w:rPr>
          <w:sz w:val="24"/>
        </w:rPr>
        <w:t>the</w:t>
      </w:r>
      <w:r>
        <w:rPr>
          <w:spacing w:val="-3"/>
          <w:sz w:val="24"/>
        </w:rPr>
        <w:t xml:space="preserve"> </w:t>
      </w:r>
      <w:r>
        <w:rPr>
          <w:sz w:val="24"/>
        </w:rPr>
        <w:t>right</w:t>
      </w:r>
      <w:r>
        <w:rPr>
          <w:spacing w:val="-5"/>
          <w:sz w:val="24"/>
        </w:rPr>
        <w:t xml:space="preserve"> </w:t>
      </w:r>
      <w:r>
        <w:rPr>
          <w:sz w:val="24"/>
        </w:rPr>
        <w:t>to</w:t>
      </w:r>
      <w:r>
        <w:rPr>
          <w:spacing w:val="-3"/>
          <w:sz w:val="24"/>
        </w:rPr>
        <w:t xml:space="preserve"> </w:t>
      </w:r>
      <w:r>
        <w:rPr>
          <w:sz w:val="24"/>
        </w:rPr>
        <w:t>refuse</w:t>
      </w:r>
      <w:r>
        <w:rPr>
          <w:spacing w:val="-3"/>
          <w:sz w:val="24"/>
        </w:rPr>
        <w:t xml:space="preserve"> </w:t>
      </w:r>
      <w:r>
        <w:rPr>
          <w:sz w:val="24"/>
        </w:rPr>
        <w:t>if</w:t>
      </w:r>
      <w:r>
        <w:rPr>
          <w:spacing w:val="-3"/>
          <w:sz w:val="24"/>
        </w:rPr>
        <w:t xml:space="preserve"> </w:t>
      </w:r>
      <w:r>
        <w:rPr>
          <w:sz w:val="24"/>
        </w:rPr>
        <w:t>we</w:t>
      </w:r>
      <w:r>
        <w:rPr>
          <w:spacing w:val="-5"/>
          <w:sz w:val="24"/>
        </w:rPr>
        <w:t xml:space="preserve"> </w:t>
      </w:r>
      <w:r>
        <w:rPr>
          <w:sz w:val="24"/>
        </w:rPr>
        <w:t>don’t</w:t>
      </w:r>
      <w:r>
        <w:rPr>
          <w:spacing w:val="-4"/>
          <w:sz w:val="24"/>
        </w:rPr>
        <w:t xml:space="preserve"> </w:t>
      </w:r>
      <w:r>
        <w:rPr>
          <w:sz w:val="24"/>
        </w:rPr>
        <w:t>have</w:t>
      </w:r>
      <w:r>
        <w:rPr>
          <w:spacing w:val="-3"/>
          <w:sz w:val="24"/>
        </w:rPr>
        <w:t xml:space="preserve"> </w:t>
      </w:r>
      <w:r>
        <w:rPr>
          <w:sz w:val="24"/>
        </w:rPr>
        <w:t>sufficient</w:t>
      </w:r>
      <w:r>
        <w:rPr>
          <w:spacing w:val="-3"/>
          <w:sz w:val="24"/>
        </w:rPr>
        <w:t xml:space="preserve"> </w:t>
      </w:r>
      <w:r>
        <w:rPr>
          <w:sz w:val="24"/>
        </w:rPr>
        <w:t>expertise</w:t>
      </w:r>
      <w:r>
        <w:rPr>
          <w:spacing w:val="-5"/>
          <w:sz w:val="24"/>
        </w:rPr>
        <w:t xml:space="preserve"> </w:t>
      </w:r>
      <w:r>
        <w:rPr>
          <w:sz w:val="24"/>
        </w:rPr>
        <w:t>or</w:t>
      </w:r>
      <w:r>
        <w:rPr>
          <w:spacing w:val="-3"/>
          <w:sz w:val="24"/>
        </w:rPr>
        <w:t xml:space="preserve"> </w:t>
      </w:r>
      <w:r>
        <w:rPr>
          <w:sz w:val="24"/>
        </w:rPr>
        <w:t>resources to manage the medication or do not agree that the medication is clinically indicated.</w:t>
      </w:r>
    </w:p>
    <w:p w14:paraId="2848BABB" w14:textId="77777777" w:rsidR="007F2260" w:rsidRPr="007F2260" w:rsidRDefault="007F2260" w:rsidP="007F2260">
      <w:pPr>
        <w:pStyle w:val="ListParagraph"/>
        <w:numPr>
          <w:ilvl w:val="0"/>
          <w:numId w:val="2"/>
        </w:numPr>
        <w:tabs>
          <w:tab w:val="left" w:pos="460"/>
          <w:tab w:val="left" w:pos="461"/>
        </w:tabs>
        <w:ind w:right="853"/>
        <w:rPr>
          <w:sz w:val="24"/>
        </w:rPr>
      </w:pPr>
      <w:r w:rsidRPr="007F2260">
        <w:rPr>
          <w:sz w:val="24"/>
        </w:rPr>
        <w:t>Spa</w:t>
      </w:r>
      <w:r w:rsidRPr="007F2260">
        <w:rPr>
          <w:spacing w:val="-4"/>
          <w:sz w:val="24"/>
        </w:rPr>
        <w:t xml:space="preserve"> </w:t>
      </w:r>
      <w:r w:rsidRPr="007F2260">
        <w:rPr>
          <w:sz w:val="24"/>
        </w:rPr>
        <w:t>Medical</w:t>
      </w:r>
      <w:r w:rsidRPr="007F2260">
        <w:rPr>
          <w:spacing w:val="-5"/>
          <w:sz w:val="24"/>
        </w:rPr>
        <w:t xml:space="preserve"> </w:t>
      </w:r>
      <w:r w:rsidRPr="007F2260">
        <w:rPr>
          <w:sz w:val="24"/>
        </w:rPr>
        <w:t>Centre</w:t>
      </w:r>
      <w:r w:rsidRPr="007F2260">
        <w:rPr>
          <w:spacing w:val="-4"/>
          <w:sz w:val="24"/>
        </w:rPr>
        <w:t xml:space="preserve"> </w:t>
      </w:r>
      <w:r w:rsidRPr="007F2260">
        <w:rPr>
          <w:sz w:val="24"/>
        </w:rPr>
        <w:t>will</w:t>
      </w:r>
      <w:r w:rsidRPr="007F2260">
        <w:rPr>
          <w:spacing w:val="-5"/>
          <w:sz w:val="24"/>
        </w:rPr>
        <w:t xml:space="preserve"> </w:t>
      </w:r>
      <w:r w:rsidRPr="007F2260">
        <w:rPr>
          <w:sz w:val="24"/>
        </w:rPr>
        <w:t>not</w:t>
      </w:r>
      <w:r w:rsidRPr="007F2260">
        <w:rPr>
          <w:spacing w:val="-4"/>
          <w:sz w:val="24"/>
        </w:rPr>
        <w:t xml:space="preserve"> </w:t>
      </w:r>
      <w:r w:rsidRPr="007F2260">
        <w:rPr>
          <w:sz w:val="24"/>
        </w:rPr>
        <w:t>prescribe</w:t>
      </w:r>
      <w:r w:rsidRPr="007F2260">
        <w:rPr>
          <w:spacing w:val="-4"/>
          <w:sz w:val="24"/>
        </w:rPr>
        <w:t xml:space="preserve"> </w:t>
      </w:r>
      <w:r w:rsidRPr="007F2260">
        <w:rPr>
          <w:sz w:val="24"/>
        </w:rPr>
        <w:t>‘Red’</w:t>
      </w:r>
      <w:r w:rsidRPr="007F2260">
        <w:rPr>
          <w:spacing w:val="-12"/>
          <w:sz w:val="24"/>
        </w:rPr>
        <w:t xml:space="preserve"> </w:t>
      </w:r>
      <w:r w:rsidRPr="007F2260">
        <w:rPr>
          <w:sz w:val="24"/>
        </w:rPr>
        <w:t>medications</w:t>
      </w:r>
      <w:r w:rsidRPr="007F2260">
        <w:rPr>
          <w:spacing w:val="-4"/>
          <w:sz w:val="24"/>
        </w:rPr>
        <w:t xml:space="preserve"> </w:t>
      </w:r>
      <w:r w:rsidRPr="007F2260">
        <w:rPr>
          <w:sz w:val="24"/>
        </w:rPr>
        <w:t>requested</w:t>
      </w:r>
      <w:r w:rsidRPr="007F2260">
        <w:rPr>
          <w:spacing w:val="-6"/>
          <w:sz w:val="24"/>
        </w:rPr>
        <w:t xml:space="preserve"> </w:t>
      </w:r>
      <w:r w:rsidRPr="007F2260">
        <w:rPr>
          <w:sz w:val="24"/>
        </w:rPr>
        <w:t>or initiated by private providers at all.</w:t>
      </w:r>
    </w:p>
    <w:p w14:paraId="0B640514" w14:textId="321F92E0" w:rsidR="007F2260" w:rsidRDefault="007F2260" w:rsidP="007F2260">
      <w:pPr>
        <w:pStyle w:val="TableParagraph"/>
        <w:numPr>
          <w:ilvl w:val="0"/>
          <w:numId w:val="2"/>
        </w:numPr>
        <w:rPr>
          <w:sz w:val="24"/>
        </w:rPr>
      </w:pPr>
      <w:r>
        <w:rPr>
          <w:sz w:val="24"/>
        </w:rPr>
        <w:t>Spa Medical Centre retains the right to hand care back to the specialist at any time if the Practice feels the above conditions are not met of if the prescribing is unsafe.</w:t>
      </w:r>
    </w:p>
    <w:p w14:paraId="3295258F" w14:textId="77777777" w:rsidR="00750F53" w:rsidRDefault="00750F53">
      <w:pPr>
        <w:pStyle w:val="BodyText"/>
      </w:pPr>
    </w:p>
    <w:p w14:paraId="7B37F331" w14:textId="77777777" w:rsidR="00750F53" w:rsidRDefault="00750F53">
      <w:pPr>
        <w:pStyle w:val="BodyText"/>
      </w:pPr>
    </w:p>
    <w:p w14:paraId="4D88A122" w14:textId="77777777" w:rsidR="00750F53" w:rsidRDefault="00750F53">
      <w:pPr>
        <w:pStyle w:val="BodyText"/>
      </w:pPr>
    </w:p>
    <w:p w14:paraId="773B6CE5" w14:textId="77777777" w:rsidR="00750F53" w:rsidRDefault="00750F53">
      <w:pPr>
        <w:pStyle w:val="BodyText"/>
      </w:pPr>
    </w:p>
    <w:p w14:paraId="0F96E5F5" w14:textId="77777777" w:rsidR="00750F53" w:rsidRDefault="00750F53">
      <w:pPr>
        <w:pStyle w:val="BodyText"/>
      </w:pPr>
    </w:p>
    <w:p w14:paraId="4E796932" w14:textId="77777777" w:rsidR="00895985" w:rsidRDefault="007F2260" w:rsidP="00875EFA">
      <w:pPr>
        <w:pStyle w:val="BodyText"/>
        <w:spacing w:before="230"/>
        <w:ind w:firstLine="100"/>
      </w:pPr>
      <w:r>
        <w:rPr>
          <w:spacing w:val="-2"/>
          <w:u w:val="single"/>
        </w:rPr>
        <w:lastRenderedPageBreak/>
        <w:t>References</w:t>
      </w:r>
    </w:p>
    <w:p w14:paraId="22C57583" w14:textId="77777777" w:rsidR="00895985" w:rsidRDefault="00895985">
      <w:pPr>
        <w:pStyle w:val="BodyText"/>
        <w:rPr>
          <w:sz w:val="16"/>
        </w:rPr>
      </w:pPr>
    </w:p>
    <w:p w14:paraId="0C39EDF9" w14:textId="77777777" w:rsidR="00895985" w:rsidRDefault="00895985">
      <w:pPr>
        <w:pStyle w:val="BodyText"/>
        <w:spacing w:before="92"/>
        <w:ind w:left="100" w:right="1211"/>
      </w:pPr>
      <w:hyperlink r:id="rId9">
        <w:r>
          <w:rPr>
            <w:color w:val="0000FF"/>
            <w:spacing w:val="-2"/>
            <w:u w:val="single" w:color="0000FF"/>
          </w:rPr>
          <w:t>https://www.bma.org.uk/advice-and-support/gp-practices/managing-</w:t>
        </w:r>
      </w:hyperlink>
      <w:r>
        <w:rPr>
          <w:color w:val="0000FF"/>
          <w:spacing w:val="-2"/>
        </w:rPr>
        <w:t xml:space="preserve"> </w:t>
      </w:r>
      <w:hyperlink r:id="rId10">
        <w:r>
          <w:rPr>
            <w:color w:val="0000FF"/>
            <w:spacing w:val="-2"/>
            <w:u w:val="single" w:color="0000FF"/>
          </w:rPr>
          <w:t>workload/general-practice-responsibility-in-responding-to-private-healthcare</w:t>
        </w:r>
      </w:hyperlink>
    </w:p>
    <w:p w14:paraId="256B1298" w14:textId="77777777" w:rsidR="00895985" w:rsidRDefault="00895985">
      <w:pPr>
        <w:pStyle w:val="BodyText"/>
        <w:rPr>
          <w:sz w:val="16"/>
        </w:rPr>
      </w:pPr>
    </w:p>
    <w:p w14:paraId="17B52059" w14:textId="77777777" w:rsidR="00895985" w:rsidRDefault="00895985">
      <w:pPr>
        <w:pStyle w:val="BodyText"/>
        <w:spacing w:before="95" w:line="237" w:lineRule="auto"/>
        <w:ind w:left="100" w:right="767"/>
      </w:pPr>
      <w:hyperlink r:id="rId11">
        <w:r>
          <w:rPr>
            <w:color w:val="0000FF"/>
            <w:spacing w:val="-2"/>
            <w:u w:val="single" w:color="0000FF"/>
          </w:rPr>
          <w:t>https://www.wessexlmcs.com/guidance/understanding-shared-care-nhs-right-to-</w:t>
        </w:r>
      </w:hyperlink>
      <w:r>
        <w:rPr>
          <w:color w:val="0000FF"/>
          <w:spacing w:val="-2"/>
        </w:rPr>
        <w:t xml:space="preserve"> </w:t>
      </w:r>
      <w:hyperlink r:id="rId12">
        <w:r>
          <w:rPr>
            <w:color w:val="0000FF"/>
            <w:spacing w:val="-2"/>
            <w:u w:val="single" w:color="0000FF"/>
          </w:rPr>
          <w:t>choose-and-private-providers/</w:t>
        </w:r>
      </w:hyperlink>
    </w:p>
    <w:p w14:paraId="1AA6A29E" w14:textId="77777777" w:rsidR="00895985" w:rsidRDefault="00895985">
      <w:pPr>
        <w:pStyle w:val="BodyText"/>
        <w:rPr>
          <w:sz w:val="16"/>
        </w:rPr>
      </w:pPr>
    </w:p>
    <w:p w14:paraId="05B9484A" w14:textId="77777777" w:rsidR="00895985" w:rsidRDefault="00895985">
      <w:pPr>
        <w:pStyle w:val="BodyText"/>
        <w:spacing w:before="93"/>
        <w:ind w:left="100" w:right="583"/>
      </w:pPr>
      <w:hyperlink r:id="rId13">
        <w:r>
          <w:rPr>
            <w:color w:val="0000FF"/>
            <w:spacing w:val="-2"/>
            <w:u w:val="single" w:color="0000FF"/>
          </w:rPr>
          <w:t>https://www.bma.org.uk/advice-and-support/gp-practices/communication-with-</w:t>
        </w:r>
      </w:hyperlink>
      <w:r>
        <w:rPr>
          <w:color w:val="0000FF"/>
          <w:spacing w:val="-2"/>
        </w:rPr>
        <w:t xml:space="preserve"> </w:t>
      </w:r>
      <w:hyperlink r:id="rId14">
        <w:r>
          <w:rPr>
            <w:color w:val="0000FF"/>
            <w:spacing w:val="-2"/>
            <w:u w:val="single" w:color="0000FF"/>
          </w:rPr>
          <w:t>patients/duty-of-care-when-test-results-and-drugs-are-ordered-by-secondary-care</w:t>
        </w:r>
      </w:hyperlink>
    </w:p>
    <w:p w14:paraId="3016FDE6" w14:textId="77777777" w:rsidR="00895985" w:rsidRDefault="00895985">
      <w:pPr>
        <w:pStyle w:val="BodyText"/>
        <w:spacing w:before="11"/>
        <w:rPr>
          <w:sz w:val="15"/>
        </w:rPr>
      </w:pPr>
    </w:p>
    <w:p w14:paraId="7D17312D" w14:textId="77777777" w:rsidR="00895985" w:rsidRDefault="00895985">
      <w:pPr>
        <w:pStyle w:val="BodyText"/>
        <w:spacing w:before="92"/>
        <w:ind w:left="100"/>
      </w:pPr>
      <w:hyperlink r:id="rId15">
        <w:r>
          <w:rPr>
            <w:color w:val="0000FF"/>
            <w:spacing w:val="-2"/>
            <w:u w:val="single" w:color="0000FF"/>
          </w:rPr>
          <w:t>https://bswtogether.org.uk/medicines/area-prescribing-committee/shared-care-</w:t>
        </w:r>
      </w:hyperlink>
      <w:r>
        <w:rPr>
          <w:color w:val="0000FF"/>
          <w:spacing w:val="-2"/>
        </w:rPr>
        <w:t xml:space="preserve"> </w:t>
      </w:r>
      <w:hyperlink r:id="rId16">
        <w:r>
          <w:rPr>
            <w:color w:val="0000FF"/>
            <w:spacing w:val="-2"/>
            <w:u w:val="single" w:color="0000FF"/>
          </w:rPr>
          <w:t>agreement/</w:t>
        </w:r>
      </w:hyperlink>
    </w:p>
    <w:p w14:paraId="7DC67644" w14:textId="77777777" w:rsidR="00895985" w:rsidRDefault="00895985">
      <w:pPr>
        <w:pStyle w:val="BodyText"/>
        <w:spacing w:before="1"/>
        <w:rPr>
          <w:sz w:val="16"/>
        </w:rPr>
      </w:pPr>
    </w:p>
    <w:p w14:paraId="41B416B3" w14:textId="77777777" w:rsidR="00895985" w:rsidRDefault="00895985">
      <w:pPr>
        <w:pStyle w:val="BodyText"/>
        <w:spacing w:before="92"/>
        <w:ind w:left="100"/>
      </w:pPr>
      <w:hyperlink r:id="rId17">
        <w:r>
          <w:rPr>
            <w:color w:val="0000FF"/>
            <w:spacing w:val="-2"/>
            <w:u w:val="single" w:color="0000FF"/>
          </w:rPr>
          <w:t>https://bswformulary.nhs.uk/</w:t>
        </w:r>
      </w:hyperlink>
    </w:p>
    <w:p w14:paraId="34D79E94" w14:textId="77777777" w:rsidR="00895985" w:rsidRDefault="00895985">
      <w:pPr>
        <w:pStyle w:val="BodyText"/>
        <w:rPr>
          <w:sz w:val="16"/>
        </w:rPr>
      </w:pPr>
    </w:p>
    <w:p w14:paraId="4EEB6D87" w14:textId="77777777" w:rsidR="00895985" w:rsidRDefault="00895985">
      <w:pPr>
        <w:pStyle w:val="BodyText"/>
        <w:spacing w:before="92"/>
        <w:ind w:left="100" w:right="1316"/>
      </w:pPr>
      <w:hyperlink r:id="rId18">
        <w:r>
          <w:rPr>
            <w:color w:val="0000FF"/>
            <w:spacing w:val="-2"/>
            <w:u w:val="single" w:color="0000FF"/>
          </w:rPr>
          <w:t>https://www.gmc-uk.org/professional-standards/professional-standards-for-</w:t>
        </w:r>
      </w:hyperlink>
      <w:r>
        <w:rPr>
          <w:color w:val="0000FF"/>
          <w:spacing w:val="-2"/>
        </w:rPr>
        <w:t xml:space="preserve"> </w:t>
      </w:r>
      <w:hyperlink r:id="rId19">
        <w:r>
          <w:rPr>
            <w:color w:val="0000FF"/>
            <w:spacing w:val="-2"/>
            <w:u w:val="single" w:color="0000FF"/>
          </w:rPr>
          <w:t>doctors/good-medical-practice</w:t>
        </w:r>
      </w:hyperlink>
    </w:p>
    <w:p w14:paraId="38D5C51C" w14:textId="77777777" w:rsidR="00895985" w:rsidRDefault="00895985">
      <w:pPr>
        <w:pStyle w:val="BodyText"/>
        <w:rPr>
          <w:sz w:val="16"/>
        </w:rPr>
      </w:pPr>
    </w:p>
    <w:p w14:paraId="7BF7A0AE" w14:textId="77777777" w:rsidR="00895985" w:rsidRDefault="00895985">
      <w:pPr>
        <w:pStyle w:val="BodyText"/>
        <w:spacing w:before="92"/>
        <w:ind w:left="100"/>
      </w:pPr>
      <w:hyperlink r:id="rId20">
        <w:r>
          <w:rPr>
            <w:color w:val="0000FF"/>
            <w:spacing w:val="-2"/>
            <w:u w:val="single" w:color="0000FF"/>
          </w:rPr>
          <w:t>https://www.england.nhs.uk/patientsafety/wp-</w:t>
        </w:r>
      </w:hyperlink>
    </w:p>
    <w:p w14:paraId="65DC276C" w14:textId="77777777" w:rsidR="00895985" w:rsidRDefault="00895985">
      <w:pPr>
        <w:pStyle w:val="BodyText"/>
        <w:ind w:left="100"/>
      </w:pPr>
      <w:hyperlink r:id="rId21">
        <w:r>
          <w:rPr>
            <w:color w:val="0000FF"/>
            <w:spacing w:val="-2"/>
            <w:u w:val="single" w:color="0000FF"/>
          </w:rPr>
          <w:t>content/uploads/sites/32/2016/03/discharge-standards-march-16.pdf</w:t>
        </w:r>
      </w:hyperlink>
    </w:p>
    <w:sectPr w:rsidR="00895985">
      <w:headerReference w:type="default" r:id="rId22"/>
      <w:footerReference w:type="default" r:id="rId23"/>
      <w:pgSz w:w="11910" w:h="16840"/>
      <w:pgMar w:top="1380" w:right="1220" w:bottom="1240" w:left="1340" w:header="708"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3B32E" w14:textId="77777777" w:rsidR="00076341" w:rsidRDefault="00076341">
      <w:r>
        <w:separator/>
      </w:r>
    </w:p>
  </w:endnote>
  <w:endnote w:type="continuationSeparator" w:id="0">
    <w:p w14:paraId="2B83E025" w14:textId="77777777" w:rsidR="00076341" w:rsidRDefault="0007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0366" w14:textId="7A3EA3C4" w:rsidR="00895985" w:rsidRDefault="007F2260">
    <w:pPr>
      <w:pStyle w:val="BodyText"/>
      <w:spacing w:line="14" w:lineRule="auto"/>
      <w:rPr>
        <w:sz w:val="20"/>
      </w:rPr>
    </w:pPr>
    <w:r>
      <w:rPr>
        <w:noProof/>
      </w:rPr>
      <mc:AlternateContent>
        <mc:Choice Requires="wps">
          <w:drawing>
            <wp:anchor distT="0" distB="0" distL="114300" distR="114300" simplePos="0" relativeHeight="487523328" behindDoc="1" locked="0" layoutInCell="1" allowOverlap="1" wp14:anchorId="484DCA6D" wp14:editId="2CD1733D">
              <wp:simplePos x="0" y="0"/>
              <wp:positionH relativeFrom="page">
                <wp:posOffset>6523990</wp:posOffset>
              </wp:positionH>
              <wp:positionV relativeFrom="page">
                <wp:posOffset>9886315</wp:posOffset>
              </wp:positionV>
              <wp:extent cx="173990" cy="196215"/>
              <wp:effectExtent l="0" t="0" r="0" b="0"/>
              <wp:wrapNone/>
              <wp:docPr id="4442100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FAB0" w14:textId="77777777" w:rsidR="00895985" w:rsidRDefault="007F2260">
                          <w:pPr>
                            <w:pStyle w:val="BodyText"/>
                            <w:spacing w:before="12"/>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CA6D" id="_x0000_t202" coordsize="21600,21600" o:spt="202" path="m,l,21600r21600,l21600,xe">
              <v:stroke joinstyle="miter"/>
              <v:path gradientshapeok="t" o:connecttype="rect"/>
            </v:shapetype>
            <v:shape id="docshape1" o:spid="_x0000_s1026" type="#_x0000_t202" style="position:absolute;margin-left:513.7pt;margin-top:778.45pt;width:13.7pt;height:15.45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Fa1QEAAJADAAAOAAAAZHJzL2Uyb0RvYy54bWysU9uO0zAQfUfiHyy/0zRFLDR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" filled="f" stroked="f">
              <v:textbox inset="0,0,0,0">
                <w:txbxContent>
                  <w:p w14:paraId="3400FAB0" w14:textId="77777777" w:rsidR="00895985" w:rsidRDefault="007F2260">
                    <w:pPr>
                      <w:pStyle w:val="BodyText"/>
                      <w:spacing w:before="12"/>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23840" behindDoc="1" locked="0" layoutInCell="1" allowOverlap="1" wp14:anchorId="6B5B98C7" wp14:editId="18DFF065">
              <wp:simplePos x="0" y="0"/>
              <wp:positionH relativeFrom="page">
                <wp:posOffset>901700</wp:posOffset>
              </wp:positionH>
              <wp:positionV relativeFrom="page">
                <wp:posOffset>10061575</wp:posOffset>
              </wp:positionV>
              <wp:extent cx="1659890" cy="196215"/>
              <wp:effectExtent l="0" t="0" r="0" b="0"/>
              <wp:wrapNone/>
              <wp:docPr id="36425109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46A8" w14:textId="5F55F3C8" w:rsidR="00895985" w:rsidRDefault="0053794C">
                          <w:pPr>
                            <w:pStyle w:val="BodyText"/>
                            <w:spacing w:before="12"/>
                            <w:ind w:left="20"/>
                          </w:pPr>
                          <w:r>
                            <w:t>November</w:t>
                          </w:r>
                          <w:r>
                            <w:rPr>
                              <w:spacing w:val="-4"/>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B98C7" id="docshape2" o:spid="_x0000_s1027" type="#_x0000_t202" style="position:absolute;margin-left:71pt;margin-top:792.25pt;width:130.7pt;height:15.45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" filled="f" stroked="f">
              <v:textbox inset="0,0,0,0">
                <w:txbxContent>
                  <w:p w14:paraId="5B1D46A8" w14:textId="5F55F3C8" w:rsidR="00895985" w:rsidRDefault="0053794C">
                    <w:pPr>
                      <w:pStyle w:val="BodyText"/>
                      <w:spacing w:before="12"/>
                      <w:ind w:left="20"/>
                    </w:pPr>
                    <w:r>
                      <w:t>November</w:t>
                    </w:r>
                    <w:r>
                      <w:rPr>
                        <w:spacing w:val="-4"/>
                      </w:rPr>
                      <w:t xml:space="preserv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6A79B" w14:textId="77777777" w:rsidR="00076341" w:rsidRDefault="00076341">
      <w:r>
        <w:separator/>
      </w:r>
    </w:p>
  </w:footnote>
  <w:footnote w:type="continuationSeparator" w:id="0">
    <w:p w14:paraId="33B2AFDA" w14:textId="77777777" w:rsidR="00076341" w:rsidRDefault="0007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11" w:type="dxa"/>
      <w:tblInd w:w="-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0"/>
      <w:gridCol w:w="222"/>
      <w:gridCol w:w="222"/>
    </w:tblGrid>
    <w:tr w:rsidR="003A0E14" w14:paraId="26C55FD1" w14:textId="77777777" w:rsidTr="008853D5">
      <w:tc>
        <w:tcPr>
          <w:tcW w:w="6521" w:type="dxa"/>
        </w:tcPr>
        <w:tbl>
          <w:tblPr>
            <w:tblStyle w:val="TableGrid"/>
            <w:tblW w:w="10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3413"/>
            <w:gridCol w:w="2307"/>
          </w:tblGrid>
          <w:tr w:rsidR="003A0E14" w:rsidRPr="00085A75" w14:paraId="6BB5C055" w14:textId="77777777" w:rsidTr="008853D5">
            <w:tc>
              <w:tcPr>
                <w:tcW w:w="5104" w:type="dxa"/>
              </w:tcPr>
              <w:p w14:paraId="61A02ED4" w14:textId="77777777" w:rsidR="003A0E14" w:rsidRPr="00EB512E" w:rsidRDefault="003A0E14" w:rsidP="003A0E14">
                <w:pPr>
                  <w:pStyle w:val="Header"/>
                  <w:ind w:left="-567"/>
                  <w:rPr>
                    <w:color w:val="0070C0"/>
                  </w:rPr>
                </w:pPr>
                <w:r w:rsidRPr="00EB512E">
                  <w:rPr>
                    <w:noProof/>
                    <w:color w:val="0070C0"/>
                    <w:lang w:eastAsia="en-GB"/>
                  </w:rPr>
                  <w:drawing>
                    <wp:anchor distT="0" distB="0" distL="114300" distR="114300" simplePos="0" relativeHeight="487525888" behindDoc="1" locked="0" layoutInCell="1" allowOverlap="1" wp14:anchorId="0E820B9B" wp14:editId="376C2284">
                      <wp:simplePos x="0" y="0"/>
                      <wp:positionH relativeFrom="column">
                        <wp:posOffset>-75565</wp:posOffset>
                      </wp:positionH>
                      <wp:positionV relativeFrom="paragraph">
                        <wp:posOffset>-5715</wp:posOffset>
                      </wp:positionV>
                      <wp:extent cx="1056640" cy="1141730"/>
                      <wp:effectExtent l="0" t="0" r="0" b="1270"/>
                      <wp:wrapTight wrapText="bothSides">
                        <wp:wrapPolygon edited="0">
                          <wp:start x="0" y="0"/>
                          <wp:lineTo x="0" y="21264"/>
                          <wp:lineTo x="21029" y="21264"/>
                          <wp:lineTo x="21029" y="0"/>
                          <wp:lineTo x="0" y="0"/>
                        </wp:wrapPolygon>
                      </wp:wrapTight>
                      <wp:docPr id="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1141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1554E" w14:textId="77777777" w:rsidR="003A0E14" w:rsidRPr="00EB512E" w:rsidRDefault="003A0E14" w:rsidP="003A0E14">
                <w:pPr>
                  <w:rPr>
                    <w:rFonts w:asciiTheme="minorHAnsi" w:eastAsiaTheme="minorHAnsi" w:hAnsiTheme="minorHAnsi" w:cstheme="minorBidi"/>
                    <w:color w:val="0070C0"/>
                  </w:rPr>
                </w:pPr>
              </w:p>
              <w:p w14:paraId="54A26674" w14:textId="77777777" w:rsidR="003A0E14" w:rsidRPr="00EB512E" w:rsidRDefault="003A0E14" w:rsidP="003A0E14">
                <w:pPr>
                  <w:tabs>
                    <w:tab w:val="left" w:pos="3600"/>
                  </w:tabs>
                  <w:rPr>
                    <w:color w:val="0070C0"/>
                  </w:rPr>
                </w:pPr>
                <w:r w:rsidRPr="00EB512E">
                  <w:rPr>
                    <w:color w:val="0070C0"/>
                  </w:rPr>
                  <w:tab/>
                </w:r>
              </w:p>
            </w:tc>
            <w:tc>
              <w:tcPr>
                <w:tcW w:w="3413" w:type="dxa"/>
              </w:tcPr>
              <w:p w14:paraId="7541572A" w14:textId="77777777" w:rsidR="003A0E14" w:rsidRPr="00EB512E" w:rsidRDefault="003A0E14" w:rsidP="003A0E14">
                <w:pPr>
                  <w:pStyle w:val="Header"/>
                  <w:rPr>
                    <w:color w:val="0070C0"/>
                  </w:rPr>
                </w:pPr>
                <w:r w:rsidRPr="00EB512E">
                  <w:rPr>
                    <w:noProof/>
                    <w:color w:val="0070C0"/>
                  </w:rPr>
                  <w:drawing>
                    <wp:anchor distT="0" distB="0" distL="114300" distR="114300" simplePos="0" relativeHeight="487526912" behindDoc="1" locked="0" layoutInCell="1" allowOverlap="1" wp14:anchorId="6A7F8B95" wp14:editId="3A1ABFB3">
                      <wp:simplePos x="0" y="0"/>
                      <wp:positionH relativeFrom="column">
                        <wp:posOffset>-49530</wp:posOffset>
                      </wp:positionH>
                      <wp:positionV relativeFrom="paragraph">
                        <wp:posOffset>74295</wp:posOffset>
                      </wp:positionV>
                      <wp:extent cx="1628775" cy="466725"/>
                      <wp:effectExtent l="0" t="0" r="9525" b="9525"/>
                      <wp:wrapSquare wrapText="bothSides"/>
                      <wp:docPr id="2" name="image2.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png" descr="Graphical user interface, text&#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a:xfrm>
                                <a:off x="0" y="0"/>
                                <a:ext cx="1628775" cy="466725"/>
                              </a:xfrm>
                              <a:prstGeom prst="rect">
                                <a:avLst/>
                              </a:prstGeom>
                              <a:ln/>
                            </pic:spPr>
                          </pic:pic>
                        </a:graphicData>
                      </a:graphic>
                      <wp14:sizeRelH relativeFrom="page">
                        <wp14:pctWidth>0</wp14:pctWidth>
                      </wp14:sizeRelH>
                      <wp14:sizeRelV relativeFrom="page">
                        <wp14:pctHeight>0</wp14:pctHeight>
                      </wp14:sizeRelV>
                    </wp:anchor>
                  </w:drawing>
                </w:r>
              </w:p>
              <w:p w14:paraId="66B9DD18" w14:textId="77777777" w:rsidR="003A0E14" w:rsidRPr="00EB512E" w:rsidRDefault="003A0E14" w:rsidP="003A0E14">
                <w:pPr>
                  <w:pStyle w:val="Header"/>
                  <w:rPr>
                    <w:color w:val="0070C0"/>
                  </w:rPr>
                </w:pPr>
              </w:p>
              <w:p w14:paraId="0363BEDC" w14:textId="77777777" w:rsidR="003A0E14" w:rsidRPr="00EB512E" w:rsidRDefault="003A0E14" w:rsidP="003A0E14">
                <w:pPr>
                  <w:pStyle w:val="Header"/>
                  <w:rPr>
                    <w:color w:val="0070C0"/>
                  </w:rPr>
                </w:pPr>
              </w:p>
              <w:p w14:paraId="249DA8EF" w14:textId="77777777" w:rsidR="003A0E14" w:rsidRPr="00EB512E" w:rsidRDefault="003A0E14" w:rsidP="003A0E14">
                <w:pPr>
                  <w:pStyle w:val="Header"/>
                  <w:jc w:val="right"/>
                  <w:rPr>
                    <w:color w:val="0070C0"/>
                  </w:rPr>
                </w:pPr>
              </w:p>
            </w:tc>
            <w:tc>
              <w:tcPr>
                <w:tcW w:w="2307" w:type="dxa"/>
              </w:tcPr>
              <w:p w14:paraId="4F669657" w14:textId="77777777" w:rsidR="003A0E14" w:rsidRPr="00EB512E" w:rsidRDefault="003A0E14" w:rsidP="003A0E14">
                <w:pPr>
                  <w:pStyle w:val="Header"/>
                  <w:rPr>
                    <w:color w:val="0070C0"/>
                    <w:sz w:val="20"/>
                    <w:szCs w:val="20"/>
                  </w:rPr>
                </w:pPr>
              </w:p>
              <w:p w14:paraId="2DA26651" w14:textId="77777777" w:rsidR="003A0E14" w:rsidRPr="00EB512E" w:rsidRDefault="003A0E14" w:rsidP="003A0E14">
                <w:pPr>
                  <w:pStyle w:val="Header"/>
                  <w:jc w:val="both"/>
                  <w:rPr>
                    <w:color w:val="0070C0"/>
                    <w:sz w:val="20"/>
                    <w:szCs w:val="20"/>
                  </w:rPr>
                </w:pPr>
                <w:r w:rsidRPr="00EB512E">
                  <w:rPr>
                    <w:color w:val="0070C0"/>
                    <w:sz w:val="20"/>
                    <w:szCs w:val="20"/>
                  </w:rPr>
                  <w:t>Dr F Armstrong</w:t>
                </w:r>
              </w:p>
              <w:p w14:paraId="4A3BFBAE" w14:textId="77777777" w:rsidR="003A0E14" w:rsidRPr="00EB512E" w:rsidRDefault="003A0E14" w:rsidP="003A0E14">
                <w:pPr>
                  <w:pStyle w:val="Header"/>
                  <w:jc w:val="both"/>
                  <w:rPr>
                    <w:color w:val="0070C0"/>
                    <w:sz w:val="20"/>
                    <w:szCs w:val="20"/>
                  </w:rPr>
                </w:pPr>
                <w:r w:rsidRPr="00EB512E">
                  <w:rPr>
                    <w:color w:val="0070C0"/>
                    <w:sz w:val="20"/>
                    <w:szCs w:val="20"/>
                  </w:rPr>
                  <w:t>Dr A W Curtis</w:t>
                </w:r>
              </w:p>
              <w:p w14:paraId="7A331C46" w14:textId="77777777" w:rsidR="003A0E14" w:rsidRPr="00EB512E" w:rsidRDefault="003A0E14" w:rsidP="003A0E14">
                <w:pPr>
                  <w:pStyle w:val="Header"/>
                  <w:jc w:val="both"/>
                  <w:rPr>
                    <w:color w:val="0070C0"/>
                    <w:sz w:val="20"/>
                    <w:szCs w:val="20"/>
                  </w:rPr>
                </w:pPr>
                <w:r w:rsidRPr="00EB512E">
                  <w:rPr>
                    <w:color w:val="0070C0"/>
                    <w:sz w:val="20"/>
                    <w:szCs w:val="20"/>
                  </w:rPr>
                  <w:t>Dr R J Teare</w:t>
                </w:r>
              </w:p>
              <w:p w14:paraId="15D09002" w14:textId="77777777" w:rsidR="003A0E14" w:rsidRDefault="003A0E14" w:rsidP="003A0E14">
                <w:pPr>
                  <w:pStyle w:val="Header"/>
                  <w:jc w:val="both"/>
                  <w:rPr>
                    <w:color w:val="0070C0"/>
                    <w:sz w:val="20"/>
                    <w:szCs w:val="20"/>
                  </w:rPr>
                </w:pPr>
                <w:r w:rsidRPr="00EB512E">
                  <w:rPr>
                    <w:color w:val="0070C0"/>
                    <w:sz w:val="20"/>
                    <w:szCs w:val="20"/>
                  </w:rPr>
                  <w:t>Dr A Gately</w:t>
                </w:r>
              </w:p>
              <w:p w14:paraId="7D3169D3" w14:textId="77777777" w:rsidR="003A0E14" w:rsidRPr="00EB512E" w:rsidRDefault="003A0E14" w:rsidP="003A0E14">
                <w:pPr>
                  <w:pStyle w:val="Header"/>
                  <w:jc w:val="both"/>
                  <w:rPr>
                    <w:color w:val="0070C0"/>
                    <w:sz w:val="20"/>
                    <w:szCs w:val="20"/>
                  </w:rPr>
                </w:pPr>
                <w:r>
                  <w:rPr>
                    <w:color w:val="0070C0"/>
                    <w:sz w:val="20"/>
                    <w:szCs w:val="20"/>
                  </w:rPr>
                  <w:t>Dr B White</w:t>
                </w:r>
              </w:p>
            </w:tc>
          </w:tr>
          <w:tr w:rsidR="003A0E14" w:rsidRPr="00085A75" w14:paraId="5925310A" w14:textId="77777777" w:rsidTr="008853D5">
            <w:tc>
              <w:tcPr>
                <w:tcW w:w="5104" w:type="dxa"/>
              </w:tcPr>
              <w:p w14:paraId="36A0604F" w14:textId="77777777" w:rsidR="003A0E14" w:rsidRPr="00085A75" w:rsidRDefault="003A0E14" w:rsidP="003A0E14">
                <w:pPr>
                  <w:pStyle w:val="Header"/>
                  <w:ind w:left="-567"/>
                  <w:rPr>
                    <w:noProof/>
                    <w:lang w:eastAsia="en-GB"/>
                  </w:rPr>
                </w:pPr>
              </w:p>
            </w:tc>
            <w:tc>
              <w:tcPr>
                <w:tcW w:w="3413" w:type="dxa"/>
              </w:tcPr>
              <w:p w14:paraId="419B9209" w14:textId="77777777" w:rsidR="003A0E14" w:rsidRPr="00085A75" w:rsidRDefault="003A0E14" w:rsidP="003A0E14">
                <w:pPr>
                  <w:pStyle w:val="Header"/>
                </w:pPr>
              </w:p>
            </w:tc>
            <w:tc>
              <w:tcPr>
                <w:tcW w:w="2307" w:type="dxa"/>
              </w:tcPr>
              <w:p w14:paraId="083E4D39" w14:textId="77777777" w:rsidR="003A0E14" w:rsidRPr="00085A75" w:rsidRDefault="003A0E14" w:rsidP="003A0E14">
                <w:pPr>
                  <w:pStyle w:val="Header"/>
                  <w:rPr>
                    <w:sz w:val="20"/>
                    <w:szCs w:val="20"/>
                  </w:rPr>
                </w:pPr>
              </w:p>
            </w:tc>
          </w:tr>
        </w:tbl>
        <w:p w14:paraId="02D7225B" w14:textId="77777777" w:rsidR="003A0E14" w:rsidRPr="009E41EA" w:rsidRDefault="003A0E14" w:rsidP="003A0E14">
          <w:pPr>
            <w:tabs>
              <w:tab w:val="left" w:pos="1740"/>
            </w:tabs>
          </w:pPr>
        </w:p>
      </w:tc>
      <w:tc>
        <w:tcPr>
          <w:tcW w:w="2316" w:type="dxa"/>
        </w:tcPr>
        <w:p w14:paraId="124DA8BF" w14:textId="77777777" w:rsidR="003A0E14" w:rsidRDefault="003A0E14" w:rsidP="003A0E14">
          <w:pPr>
            <w:pStyle w:val="Header"/>
            <w:jc w:val="right"/>
          </w:pPr>
        </w:p>
      </w:tc>
      <w:tc>
        <w:tcPr>
          <w:tcW w:w="1774" w:type="dxa"/>
        </w:tcPr>
        <w:p w14:paraId="484F56E5" w14:textId="77777777" w:rsidR="003A0E14" w:rsidRPr="00A13E46" w:rsidRDefault="003A0E14" w:rsidP="003A0E14">
          <w:pPr>
            <w:pStyle w:val="Header"/>
            <w:rPr>
              <w:sz w:val="20"/>
              <w:szCs w:val="20"/>
            </w:rPr>
          </w:pPr>
        </w:p>
      </w:tc>
    </w:tr>
  </w:tbl>
  <w:p w14:paraId="7CF9997B" w14:textId="77777777" w:rsidR="003A0E14" w:rsidRPr="00540E4E" w:rsidRDefault="003A0E14" w:rsidP="003A0E14">
    <w:pPr>
      <w:pStyle w:val="Header"/>
    </w:pPr>
  </w:p>
  <w:p w14:paraId="57E7273D" w14:textId="212DAE7B" w:rsidR="00895985" w:rsidRDefault="0089598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D6A9D"/>
    <w:multiLevelType w:val="hybridMultilevel"/>
    <w:tmpl w:val="BED0A55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4B507FED"/>
    <w:multiLevelType w:val="hybridMultilevel"/>
    <w:tmpl w:val="EDC077EE"/>
    <w:lvl w:ilvl="0" w:tplc="56F46124">
      <w:numFmt w:val="bullet"/>
      <w:lvlText w:val=""/>
      <w:lvlJc w:val="left"/>
      <w:pPr>
        <w:ind w:left="460" w:hanging="360"/>
      </w:pPr>
      <w:rPr>
        <w:rFonts w:ascii="Wingdings" w:eastAsia="Wingdings" w:hAnsi="Wingdings" w:cs="Wingdings" w:hint="default"/>
        <w:b w:val="0"/>
        <w:bCs w:val="0"/>
        <w:i w:val="0"/>
        <w:iCs w:val="0"/>
        <w:w w:val="100"/>
        <w:sz w:val="24"/>
        <w:szCs w:val="24"/>
        <w:lang w:val="en-US" w:eastAsia="en-US" w:bidi="ar-SA"/>
      </w:rPr>
    </w:lvl>
    <w:lvl w:ilvl="1" w:tplc="2644657E">
      <w:numFmt w:val="bullet"/>
      <w:lvlText w:val="•"/>
      <w:lvlJc w:val="left"/>
      <w:pPr>
        <w:ind w:left="1348" w:hanging="360"/>
      </w:pPr>
      <w:rPr>
        <w:rFonts w:hint="default"/>
        <w:lang w:val="en-US" w:eastAsia="en-US" w:bidi="ar-SA"/>
      </w:rPr>
    </w:lvl>
    <w:lvl w:ilvl="2" w:tplc="EAF67A98">
      <w:numFmt w:val="bullet"/>
      <w:lvlText w:val="•"/>
      <w:lvlJc w:val="left"/>
      <w:pPr>
        <w:ind w:left="2237" w:hanging="360"/>
      </w:pPr>
      <w:rPr>
        <w:rFonts w:hint="default"/>
        <w:lang w:val="en-US" w:eastAsia="en-US" w:bidi="ar-SA"/>
      </w:rPr>
    </w:lvl>
    <w:lvl w:ilvl="3" w:tplc="8E40D970">
      <w:numFmt w:val="bullet"/>
      <w:lvlText w:val="•"/>
      <w:lvlJc w:val="left"/>
      <w:pPr>
        <w:ind w:left="3125" w:hanging="360"/>
      </w:pPr>
      <w:rPr>
        <w:rFonts w:hint="default"/>
        <w:lang w:val="en-US" w:eastAsia="en-US" w:bidi="ar-SA"/>
      </w:rPr>
    </w:lvl>
    <w:lvl w:ilvl="4" w:tplc="4BC89D44">
      <w:numFmt w:val="bullet"/>
      <w:lvlText w:val="•"/>
      <w:lvlJc w:val="left"/>
      <w:pPr>
        <w:ind w:left="4014" w:hanging="360"/>
      </w:pPr>
      <w:rPr>
        <w:rFonts w:hint="default"/>
        <w:lang w:val="en-US" w:eastAsia="en-US" w:bidi="ar-SA"/>
      </w:rPr>
    </w:lvl>
    <w:lvl w:ilvl="5" w:tplc="CE565F40">
      <w:numFmt w:val="bullet"/>
      <w:lvlText w:val="•"/>
      <w:lvlJc w:val="left"/>
      <w:pPr>
        <w:ind w:left="4903" w:hanging="360"/>
      </w:pPr>
      <w:rPr>
        <w:rFonts w:hint="default"/>
        <w:lang w:val="en-US" w:eastAsia="en-US" w:bidi="ar-SA"/>
      </w:rPr>
    </w:lvl>
    <w:lvl w:ilvl="6" w:tplc="977874BA">
      <w:numFmt w:val="bullet"/>
      <w:lvlText w:val="•"/>
      <w:lvlJc w:val="left"/>
      <w:pPr>
        <w:ind w:left="5791" w:hanging="360"/>
      </w:pPr>
      <w:rPr>
        <w:rFonts w:hint="default"/>
        <w:lang w:val="en-US" w:eastAsia="en-US" w:bidi="ar-SA"/>
      </w:rPr>
    </w:lvl>
    <w:lvl w:ilvl="7" w:tplc="6C78D684">
      <w:numFmt w:val="bullet"/>
      <w:lvlText w:val="•"/>
      <w:lvlJc w:val="left"/>
      <w:pPr>
        <w:ind w:left="6680" w:hanging="360"/>
      </w:pPr>
      <w:rPr>
        <w:rFonts w:hint="default"/>
        <w:lang w:val="en-US" w:eastAsia="en-US" w:bidi="ar-SA"/>
      </w:rPr>
    </w:lvl>
    <w:lvl w:ilvl="8" w:tplc="3F1A4A2A">
      <w:numFmt w:val="bullet"/>
      <w:lvlText w:val="•"/>
      <w:lvlJc w:val="left"/>
      <w:pPr>
        <w:ind w:left="7569" w:hanging="360"/>
      </w:pPr>
      <w:rPr>
        <w:rFonts w:hint="default"/>
        <w:lang w:val="en-US" w:eastAsia="en-US" w:bidi="ar-SA"/>
      </w:rPr>
    </w:lvl>
  </w:abstractNum>
  <w:num w:numId="1" w16cid:durableId="276300259">
    <w:abstractNumId w:val="1"/>
  </w:num>
  <w:num w:numId="2" w16cid:durableId="48512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85"/>
    <w:rsid w:val="00035DA3"/>
    <w:rsid w:val="00076341"/>
    <w:rsid w:val="001C7D46"/>
    <w:rsid w:val="001E10CD"/>
    <w:rsid w:val="002655AC"/>
    <w:rsid w:val="003A0E14"/>
    <w:rsid w:val="0053794C"/>
    <w:rsid w:val="00567F3D"/>
    <w:rsid w:val="006354A7"/>
    <w:rsid w:val="00750F53"/>
    <w:rsid w:val="007F2260"/>
    <w:rsid w:val="00875EFA"/>
    <w:rsid w:val="00895985"/>
    <w:rsid w:val="00A436F2"/>
    <w:rsid w:val="00AA3022"/>
    <w:rsid w:val="00B102CD"/>
    <w:rsid w:val="00B22E39"/>
    <w:rsid w:val="00BB5362"/>
    <w:rsid w:val="00DC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4DE0F"/>
  <w15:docId w15:val="{9D9EE2DA-0422-407A-9900-3798E98A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6"/>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70" w:lineRule="exact"/>
      <w:ind w:left="107" w:right="197"/>
    </w:pPr>
  </w:style>
  <w:style w:type="paragraph" w:styleId="Header">
    <w:name w:val="header"/>
    <w:basedOn w:val="Normal"/>
    <w:link w:val="HeaderChar"/>
    <w:uiPriority w:val="99"/>
    <w:unhideWhenUsed/>
    <w:rsid w:val="00B22E39"/>
    <w:pPr>
      <w:tabs>
        <w:tab w:val="center" w:pos="4513"/>
        <w:tab w:val="right" w:pos="9026"/>
      </w:tabs>
    </w:pPr>
  </w:style>
  <w:style w:type="character" w:customStyle="1" w:styleId="HeaderChar">
    <w:name w:val="Header Char"/>
    <w:basedOn w:val="DefaultParagraphFont"/>
    <w:link w:val="Header"/>
    <w:uiPriority w:val="99"/>
    <w:rsid w:val="00B22E39"/>
    <w:rPr>
      <w:rFonts w:ascii="Arial" w:eastAsia="Arial" w:hAnsi="Arial" w:cs="Arial"/>
    </w:rPr>
  </w:style>
  <w:style w:type="paragraph" w:styleId="Footer">
    <w:name w:val="footer"/>
    <w:basedOn w:val="Normal"/>
    <w:link w:val="FooterChar"/>
    <w:uiPriority w:val="99"/>
    <w:unhideWhenUsed/>
    <w:rsid w:val="00B22E39"/>
    <w:pPr>
      <w:tabs>
        <w:tab w:val="center" w:pos="4513"/>
        <w:tab w:val="right" w:pos="9026"/>
      </w:tabs>
    </w:pPr>
  </w:style>
  <w:style w:type="character" w:customStyle="1" w:styleId="FooterChar">
    <w:name w:val="Footer Char"/>
    <w:basedOn w:val="DefaultParagraphFont"/>
    <w:link w:val="Footer"/>
    <w:uiPriority w:val="99"/>
    <w:rsid w:val="00B22E39"/>
    <w:rPr>
      <w:rFonts w:ascii="Arial" w:eastAsia="Arial" w:hAnsi="Arial" w:cs="Arial"/>
    </w:rPr>
  </w:style>
  <w:style w:type="paragraph" w:styleId="NormalWeb">
    <w:name w:val="Normal (Web)"/>
    <w:basedOn w:val="Normal"/>
    <w:uiPriority w:val="99"/>
    <w:semiHidden/>
    <w:unhideWhenUsed/>
    <w:rsid w:val="003A0E14"/>
    <w:rPr>
      <w:rFonts w:ascii="Times New Roman" w:hAnsi="Times New Roman" w:cs="Times New Roman"/>
      <w:sz w:val="24"/>
      <w:szCs w:val="24"/>
    </w:rPr>
  </w:style>
  <w:style w:type="table" w:styleId="TableGrid">
    <w:name w:val="Table Grid"/>
    <w:basedOn w:val="TableNormal"/>
    <w:uiPriority w:val="59"/>
    <w:rsid w:val="003A0E1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84500">
      <w:bodyDiv w:val="1"/>
      <w:marLeft w:val="0"/>
      <w:marRight w:val="0"/>
      <w:marTop w:val="0"/>
      <w:marBottom w:val="0"/>
      <w:divBdr>
        <w:top w:val="none" w:sz="0" w:space="0" w:color="auto"/>
        <w:left w:val="none" w:sz="0" w:space="0" w:color="auto"/>
        <w:bottom w:val="none" w:sz="0" w:space="0" w:color="auto"/>
        <w:right w:val="none" w:sz="0" w:space="0" w:color="auto"/>
      </w:divBdr>
    </w:div>
    <w:div w:id="181987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swtogether.org.uk/medicines/area-prescribing-committee/shared-care-agreement/" TargetMode="External"/><Relationship Id="rId13" Type="http://schemas.openxmlformats.org/officeDocument/2006/relationships/hyperlink" Target="https://www.bma.org.uk/advice-and-support/gp-practices/communication-with-patients/duty-of-care-when-test-results-and-drugs-are-ordered-by-secondary-care" TargetMode="External"/><Relationship Id="rId18" Type="http://schemas.openxmlformats.org/officeDocument/2006/relationships/hyperlink" Target="https://www.gmc-uk.org/professional-standards/professional-standards-for-doctors/good-medical-practice" TargetMode="External"/><Relationship Id="rId3" Type="http://schemas.openxmlformats.org/officeDocument/2006/relationships/settings" Target="settings.xml"/><Relationship Id="rId21" Type="http://schemas.openxmlformats.org/officeDocument/2006/relationships/hyperlink" Target="https://www.england.nhs.uk/patientsafety/wp-content/uploads/sites/32/2016/03/discharge-standards-march-16.pdf" TargetMode="External"/><Relationship Id="rId7" Type="http://schemas.openxmlformats.org/officeDocument/2006/relationships/hyperlink" Target="https://bswtogether.org.uk/medicines/area-prescribing-committee/shared-care-agreement/" TargetMode="External"/><Relationship Id="rId12" Type="http://schemas.openxmlformats.org/officeDocument/2006/relationships/hyperlink" Target="https://www.wessexlmcs.com/guidance/understanding-shared-care-nhs-right-to-choose-and-private-providers/" TargetMode="External"/><Relationship Id="rId17" Type="http://schemas.openxmlformats.org/officeDocument/2006/relationships/hyperlink" Target="https://bswformulary.nhs.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swtogether.org.uk/medicines/area-prescribing-committee/shared-care-agreement/" TargetMode="External"/><Relationship Id="rId20" Type="http://schemas.openxmlformats.org/officeDocument/2006/relationships/hyperlink" Target="https://www.england.nhs.uk/patientsafety/wp-content/uploads/sites/32/2016/03/discharge-standards-march-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sexlmcs.com/guidance/understanding-shared-care-nhs-right-to-choose-and-private-provide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swtogether.org.uk/medicines/area-prescribing-committee/shared-care-agreement/" TargetMode="External"/><Relationship Id="rId23" Type="http://schemas.openxmlformats.org/officeDocument/2006/relationships/footer" Target="footer1.xml"/><Relationship Id="rId10" Type="http://schemas.openxmlformats.org/officeDocument/2006/relationships/hyperlink" Target="https://www.bma.org.uk/advice-and-support/gp-practices/managing-workload/general-practice-responsibility-in-responding-to-private-healthcare" TargetMode="External"/><Relationship Id="rId19" Type="http://schemas.openxmlformats.org/officeDocument/2006/relationships/hyperlink" Target="https://www.gmc-uk.org/professional-standards/professional-standards-for-doctors/good-medical-practice" TargetMode="External"/><Relationship Id="rId4" Type="http://schemas.openxmlformats.org/officeDocument/2006/relationships/webSettings" Target="webSettings.xml"/><Relationship Id="rId9" Type="http://schemas.openxmlformats.org/officeDocument/2006/relationships/hyperlink" Target="https://www.bma.org.uk/advice-and-support/gp-practices/managing-workload/general-practice-responsibility-in-responding-to-private-healthcare" TargetMode="External"/><Relationship Id="rId14" Type="http://schemas.openxmlformats.org/officeDocument/2006/relationships/hyperlink" Target="https://www.bma.org.uk/advice-and-support/gp-practices/communication-with-patients/duty-of-care-when-test-results-and-drugs-are-ordered-by-secondary-car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1095</Words>
  <Characters>6242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Dan (SALISBURY MEDICAL PRACTICE)</dc:creator>
  <cp:lastModifiedBy>WEST, Gemma (SPA MEDICAL CENTRE)</cp:lastModifiedBy>
  <cp:revision>2</cp:revision>
  <dcterms:created xsi:type="dcterms:W3CDTF">2025-01-22T12:00:00Z</dcterms:created>
  <dcterms:modified xsi:type="dcterms:W3CDTF">2025-01-22T12:00:00Z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 for Microsoft 365</vt:lpwstr>
  </property>
  <property fmtid="{D5CDD505-2E9C-101B-9397-08002B2CF9AE}" pid="4" name="LastSaved">
    <vt:filetime>2024-11-28T00:00:00Z</vt:filetime>
  </property>
  <property fmtid="{D5CDD505-2E9C-101B-9397-08002B2CF9AE}" pid="5" name="Producer">
    <vt:lpwstr>Microsoft® Word for Microsoft 365</vt:lpwstr>
  </property>
</Properties>
</file>